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6C7F">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right"/>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遂农</w:t>
      </w:r>
      <w:r>
        <w:rPr>
          <w:rFonts w:hint="default" w:ascii="Times New Roman" w:hAnsi="Times New Roman" w:eastAsia="仿宋_GB2312" w:cs="Times New Roman"/>
          <w:spacing w:val="0"/>
          <w:sz w:val="32"/>
          <w:szCs w:val="32"/>
          <w:lang w:val="en-US" w:eastAsia="zh-CN"/>
        </w:rPr>
        <w:t>发</w:t>
      </w: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25</w:t>
      </w:r>
      <w:r>
        <w:rPr>
          <w:rFonts w:hint="default" w:ascii="Times New Roman" w:hAnsi="Times New Roman" w:eastAsia="仿宋_GB2312" w:cs="Times New Roman"/>
          <w:spacing w:val="0"/>
          <w:sz w:val="32"/>
          <w:szCs w:val="32"/>
        </w:rPr>
        <w:t>号</w:t>
      </w:r>
    </w:p>
    <w:p w14:paraId="39FBFF32">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right"/>
        <w:textAlignment w:val="baseline"/>
        <w:rPr>
          <w:rFonts w:hint="eastAsia" w:ascii="Times New Roman" w:hAnsi="Times New Roman" w:eastAsia="仿宋_GB2312" w:cs="Times New Roman"/>
          <w:spacing w:val="0"/>
          <w:sz w:val="32"/>
          <w:szCs w:val="32"/>
          <w:lang w:val="en-US" w:eastAsia="zh-CN"/>
        </w:rPr>
      </w:pPr>
    </w:p>
    <w:p w14:paraId="0E8E06B4">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遂宁市农业农村局 遂宁市财政局</w:t>
      </w:r>
    </w:p>
    <w:p w14:paraId="67D5B72F">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关于印发《遂宁市2024—2026年农机购置</w:t>
      </w:r>
    </w:p>
    <w:p w14:paraId="14627736">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与应用补贴方案》的通知</w:t>
      </w:r>
    </w:p>
    <w:p w14:paraId="7D37C832">
      <w:pPr>
        <w:pStyle w:val="2"/>
        <w:keepNext w:val="0"/>
        <w:keepLines w:val="0"/>
        <w:pageBreakBefore w:val="0"/>
        <w:wordWrap/>
        <w:overflowPunct/>
        <w:topLinePunct w:val="0"/>
        <w:bidi w:val="0"/>
        <w:spacing w:line="576" w:lineRule="exact"/>
        <w:ind w:left="0" w:leftChars="0" w:right="0"/>
        <w:jc w:val="both"/>
      </w:pPr>
    </w:p>
    <w:p w14:paraId="016F035D">
      <w:pPr>
        <w:keepNext w:val="0"/>
        <w:keepLines w:val="0"/>
        <w:pageBreakBefore w:val="0"/>
        <w:wordWrap/>
        <w:overflowPunct/>
        <w:topLinePunct w:val="0"/>
        <w:bidi w:val="0"/>
        <w:spacing w:line="576" w:lineRule="exact"/>
        <w:ind w:left="0" w:leftChars="0" w:right="0" w:firstLine="0"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各</w:t>
      </w:r>
      <w:r>
        <w:rPr>
          <w:rFonts w:hint="eastAsia" w:ascii="仿宋_GB2312" w:hAnsi="仿宋_GB2312" w:eastAsia="仿宋_GB2312" w:cs="仿宋_GB2312"/>
          <w:spacing w:val="8"/>
          <w:sz w:val="32"/>
          <w:szCs w:val="32"/>
          <w:lang w:eastAsia="zh-CN"/>
        </w:rPr>
        <w:t>县（市、区）农业农村局、财政局，市直园区农业农村</w:t>
      </w:r>
      <w:r>
        <w:rPr>
          <w:rFonts w:hint="eastAsia" w:ascii="仿宋_GB2312" w:hAnsi="仿宋_GB2312" w:eastAsia="仿宋_GB2312" w:cs="仿宋_GB2312"/>
          <w:spacing w:val="8"/>
          <w:sz w:val="32"/>
          <w:szCs w:val="32"/>
          <w:lang w:val="en-US" w:eastAsia="zh-CN"/>
        </w:rPr>
        <w:t>部门</w:t>
      </w:r>
      <w:r>
        <w:rPr>
          <w:rFonts w:hint="eastAsia" w:ascii="仿宋_GB2312" w:hAnsi="仿宋_GB2312" w:eastAsia="仿宋_GB2312" w:cs="仿宋_GB2312"/>
          <w:spacing w:val="8"/>
          <w:sz w:val="32"/>
          <w:szCs w:val="32"/>
          <w:lang w:eastAsia="zh-CN"/>
        </w:rPr>
        <w:t>、财政部门</w:t>
      </w:r>
      <w:r>
        <w:rPr>
          <w:rFonts w:hint="eastAsia" w:ascii="仿宋_GB2312" w:hAnsi="仿宋_GB2312" w:eastAsia="仿宋_GB2312" w:cs="仿宋_GB2312"/>
          <w:spacing w:val="8"/>
          <w:sz w:val="32"/>
          <w:szCs w:val="32"/>
        </w:rPr>
        <w:t>：</w:t>
      </w:r>
    </w:p>
    <w:p w14:paraId="5758832E">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lang w:val="en-US" w:eastAsia="zh-CN"/>
        </w:rPr>
        <w:t>现将《遂宁市2024—2026年农机购置与应用补贴实施方案》印发你们</w:t>
      </w:r>
      <w:r>
        <w:rPr>
          <w:rFonts w:hint="eastAsia" w:ascii="仿宋_GB2312" w:hAnsi="仿宋_GB2312" w:eastAsia="仿宋_GB2312" w:cs="仿宋_GB2312"/>
          <w:spacing w:val="6"/>
          <w:sz w:val="32"/>
          <w:szCs w:val="32"/>
        </w:rPr>
        <w:t>，请遵照执行。</w:t>
      </w:r>
    </w:p>
    <w:p w14:paraId="0344DF1A">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6670F3B6">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798B606D">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0DEDB79A">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32FE83D7">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2"/>
          <w:szCs w:val="32"/>
        </w:rPr>
      </w:pPr>
    </w:p>
    <w:p w14:paraId="58284A8A">
      <w:pPr>
        <w:keepNext w:val="0"/>
        <w:keepLines w:val="0"/>
        <w:pageBreakBefore w:val="0"/>
        <w:wordWrap/>
        <w:overflowPunct/>
        <w:topLinePunct w:val="0"/>
        <w:bidi w:val="0"/>
        <w:spacing w:line="576" w:lineRule="exact"/>
        <w:ind w:left="0" w:leftChars="0" w:right="0" w:firstLine="3220" w:firstLineChars="10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遂宁市</w:t>
      </w:r>
      <w:r>
        <w:rPr>
          <w:rFonts w:hint="eastAsia" w:ascii="仿宋_GB2312" w:hAnsi="仿宋_GB2312" w:eastAsia="仿宋_GB2312" w:cs="仿宋_GB2312"/>
          <w:spacing w:val="1"/>
          <w:sz w:val="32"/>
          <w:szCs w:val="32"/>
        </w:rPr>
        <w:t>农业农村</w:t>
      </w:r>
      <w:r>
        <w:rPr>
          <w:rFonts w:hint="eastAsia" w:ascii="仿宋_GB2312" w:hAnsi="仿宋_GB2312" w:eastAsia="仿宋_GB2312" w:cs="仿宋_GB2312"/>
          <w:spacing w:val="1"/>
          <w:sz w:val="32"/>
          <w:szCs w:val="32"/>
          <w:lang w:eastAsia="zh-CN"/>
        </w:rPr>
        <w:t>局</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
          <w:sz w:val="32"/>
          <w:szCs w:val="32"/>
          <w:lang w:eastAsia="zh-CN"/>
        </w:rPr>
        <w:t>遂宁市</w:t>
      </w:r>
      <w:r>
        <w:rPr>
          <w:rFonts w:hint="eastAsia" w:ascii="仿宋_GB2312" w:hAnsi="仿宋_GB2312" w:eastAsia="仿宋_GB2312" w:cs="仿宋_GB2312"/>
          <w:spacing w:val="1"/>
          <w:sz w:val="32"/>
          <w:szCs w:val="32"/>
        </w:rPr>
        <w:t>财政</w:t>
      </w:r>
      <w:r>
        <w:rPr>
          <w:rFonts w:hint="eastAsia" w:ascii="仿宋_GB2312" w:hAnsi="仿宋_GB2312" w:eastAsia="仿宋_GB2312" w:cs="仿宋_GB2312"/>
          <w:spacing w:val="1"/>
          <w:sz w:val="32"/>
          <w:szCs w:val="32"/>
          <w:lang w:eastAsia="zh-CN"/>
        </w:rPr>
        <w:t>局</w:t>
      </w:r>
    </w:p>
    <w:p w14:paraId="637C9C56">
      <w:pPr>
        <w:keepNext w:val="0"/>
        <w:keepLines w:val="0"/>
        <w:pageBreakBefore w:val="0"/>
        <w:wordWrap/>
        <w:overflowPunct/>
        <w:topLinePunct w:val="0"/>
        <w:bidi w:val="0"/>
        <w:spacing w:line="576" w:lineRule="exact"/>
        <w:ind w:left="0" w:leftChars="0" w:right="0" w:firstLine="6688" w:firstLineChars="2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2024年</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8"/>
          <w:sz w:val="32"/>
          <w:szCs w:val="32"/>
          <w:lang w:val="en-US" w:eastAsia="zh-CN"/>
        </w:rPr>
        <w:t xml:space="preserve"> 11</w:t>
      </w:r>
      <w:r>
        <w:rPr>
          <w:rFonts w:hint="eastAsia" w:ascii="仿宋_GB2312" w:hAnsi="仿宋_GB2312" w:eastAsia="仿宋_GB2312" w:cs="仿宋_GB2312"/>
          <w:spacing w:val="-39"/>
          <w:sz w:val="32"/>
          <w:szCs w:val="32"/>
        </w:rPr>
        <w:t xml:space="preserve"> </w:t>
      </w:r>
      <w:r>
        <w:rPr>
          <w:rFonts w:hint="eastAsia" w:ascii="仿宋_GB2312" w:hAnsi="仿宋_GB2312" w:eastAsia="仿宋_GB2312" w:cs="仿宋_GB2312"/>
          <w:spacing w:val="-8"/>
          <w:sz w:val="32"/>
          <w:szCs w:val="32"/>
        </w:rPr>
        <w:t>月</w:t>
      </w:r>
      <w:r>
        <w:rPr>
          <w:rFonts w:hint="eastAsia" w:ascii="仿宋_GB2312" w:hAnsi="仿宋_GB2312" w:eastAsia="仿宋_GB2312" w:cs="仿宋_GB2312"/>
          <w:spacing w:val="-8"/>
          <w:sz w:val="32"/>
          <w:szCs w:val="32"/>
          <w:lang w:val="en-US" w:eastAsia="zh-CN"/>
        </w:rPr>
        <w:t>12</w:t>
      </w:r>
      <w:r>
        <w:rPr>
          <w:rFonts w:hint="eastAsia" w:ascii="仿宋_GB2312" w:hAnsi="仿宋_GB2312" w:eastAsia="仿宋_GB2312" w:cs="仿宋_GB2312"/>
          <w:spacing w:val="-8"/>
          <w:sz w:val="32"/>
          <w:szCs w:val="32"/>
        </w:rPr>
        <w:t>日</w:t>
      </w:r>
    </w:p>
    <w:p w14:paraId="52E64E10">
      <w:pPr>
        <w:pStyle w:val="2"/>
        <w:keepNext w:val="0"/>
        <w:keepLines w:val="0"/>
        <w:pageBreakBefore w:val="0"/>
        <w:wordWrap/>
        <w:overflowPunct/>
        <w:topLinePunct w:val="0"/>
        <w:bidi w:val="0"/>
        <w:spacing w:line="576" w:lineRule="exact"/>
        <w:ind w:left="0" w:leftChars="0" w:right="0"/>
        <w:jc w:val="both"/>
      </w:pPr>
    </w:p>
    <w:p w14:paraId="020734ED">
      <w:pPr>
        <w:pStyle w:val="2"/>
        <w:keepNext w:val="0"/>
        <w:keepLines w:val="0"/>
        <w:pageBreakBefore w:val="0"/>
        <w:wordWrap/>
        <w:overflowPunct/>
        <w:topLinePunct w:val="0"/>
        <w:bidi w:val="0"/>
        <w:spacing w:line="576" w:lineRule="exact"/>
        <w:ind w:left="0" w:leftChars="0" w:right="0"/>
        <w:jc w:val="both"/>
      </w:pPr>
    </w:p>
    <w:p w14:paraId="2D7E97AD">
      <w:pPr>
        <w:pStyle w:val="2"/>
        <w:keepNext w:val="0"/>
        <w:keepLines w:val="0"/>
        <w:pageBreakBefore w:val="0"/>
        <w:wordWrap/>
        <w:overflowPunct/>
        <w:topLinePunct w:val="0"/>
        <w:bidi w:val="0"/>
        <w:spacing w:line="576" w:lineRule="exact"/>
        <w:ind w:left="0" w:leftChars="0" w:right="0"/>
        <w:jc w:val="both"/>
      </w:pPr>
    </w:p>
    <w:p w14:paraId="351E4975">
      <w:pPr>
        <w:pStyle w:val="2"/>
        <w:keepNext w:val="0"/>
        <w:keepLines w:val="0"/>
        <w:pageBreakBefore w:val="0"/>
        <w:wordWrap/>
        <w:overflowPunct/>
        <w:topLinePunct w:val="0"/>
        <w:bidi w:val="0"/>
        <w:spacing w:line="576" w:lineRule="exact"/>
        <w:ind w:left="0" w:leftChars="0" w:right="0"/>
        <w:jc w:val="both"/>
        <w:rPr>
          <w:rFonts w:hint="eastAsia" w:eastAsia="宋体"/>
          <w:lang w:val="en-US" w:eastAsia="zh-CN"/>
        </w:rPr>
      </w:pPr>
      <w:r>
        <w:rPr>
          <w:rFonts w:hint="eastAsia" w:eastAsia="宋体"/>
          <w:lang w:val="en-US" w:eastAsia="zh-CN"/>
        </w:rPr>
        <w:t xml:space="preserve"> </w:t>
      </w:r>
    </w:p>
    <w:p w14:paraId="793D5F87">
      <w:pPr>
        <w:pStyle w:val="2"/>
        <w:keepNext w:val="0"/>
        <w:keepLines w:val="0"/>
        <w:pageBreakBefore w:val="0"/>
        <w:wordWrap/>
        <w:overflowPunct/>
        <w:topLinePunct w:val="0"/>
        <w:bidi w:val="0"/>
        <w:spacing w:line="576" w:lineRule="exact"/>
        <w:ind w:left="0" w:leftChars="0" w:right="0" w:firstLine="0" w:firstLineChars="0"/>
        <w:jc w:val="both"/>
      </w:pPr>
      <w:bookmarkStart w:id="1" w:name="_GoBack"/>
      <w:bookmarkEnd w:id="1"/>
    </w:p>
    <w:p w14:paraId="15117E81">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遂宁市2024—2026年农机购置与应用补贴</w:t>
      </w:r>
    </w:p>
    <w:p w14:paraId="526965C5">
      <w:pPr>
        <w:keepNext w:val="0"/>
        <w:keepLines w:val="0"/>
        <w:pageBreakBefore w:val="0"/>
        <w:widowControl w:val="0"/>
        <w:suppressAutoHyphens/>
        <w:kinsoku/>
        <w:wordWrap/>
        <w:overflowPunct/>
        <w:topLinePunct w:val="0"/>
        <w:autoSpaceDE/>
        <w:autoSpaceDN/>
        <w:bidi w:val="0"/>
        <w:adjustRightInd/>
        <w:snapToGrid/>
        <w:spacing w:beforeAutospacing="0" w:after="0" w:afterAutospacing="0" w:line="576" w:lineRule="exact"/>
        <w:ind w:left="0" w:leftChars="0" w:right="0" w:firstLine="0" w:firstLineChars="0"/>
        <w:jc w:val="center"/>
        <w:textAlignment w:val="baseline"/>
        <w:rPr>
          <w:rFonts w:ascii="微软雅黑" w:hAnsi="微软雅黑" w:eastAsia="微软雅黑" w:cs="微软雅黑"/>
          <w:sz w:val="43"/>
          <w:szCs w:val="43"/>
        </w:rPr>
      </w:pPr>
      <w:r>
        <w:rPr>
          <w:rStyle w:val="10"/>
          <w:rFonts w:hint="eastAsia" w:ascii="Times New Roman" w:hAnsi="Times New Roman" w:eastAsia="方正小标宋简体" w:cs="Times New Roman"/>
          <w:b w:val="0"/>
          <w:bCs/>
          <w:i w:val="0"/>
          <w:caps w:val="0"/>
          <w:snapToGrid/>
          <w:color w:val="000000"/>
          <w:spacing w:val="6"/>
          <w:w w:val="100"/>
          <w:kern w:val="2"/>
          <w:sz w:val="46"/>
          <w:szCs w:val="46"/>
          <w:lang w:val="en-US" w:eastAsia="zh-CN" w:bidi="ar-SA"/>
        </w:rPr>
        <w:t>实施方案</w:t>
      </w:r>
    </w:p>
    <w:p w14:paraId="3A39CC3C">
      <w:pPr>
        <w:keepNext w:val="0"/>
        <w:keepLines w:val="0"/>
        <w:pageBreakBefore w:val="0"/>
        <w:wordWrap/>
        <w:overflowPunct/>
        <w:topLinePunct w:val="0"/>
        <w:bidi w:val="0"/>
        <w:spacing w:line="576" w:lineRule="exact"/>
        <w:ind w:left="0" w:leftChars="0" w:right="0" w:firstLine="648" w:firstLineChars="200"/>
        <w:jc w:val="both"/>
        <w:rPr>
          <w:rFonts w:hint="eastAsia" w:ascii="黑体" w:hAnsi="黑体" w:eastAsia="黑体" w:cs="黑体"/>
          <w:spacing w:val="7"/>
          <w:sz w:val="31"/>
          <w:szCs w:val="31"/>
        </w:rPr>
      </w:pPr>
    </w:p>
    <w:p w14:paraId="547B8E39">
      <w:pPr>
        <w:keepNext w:val="0"/>
        <w:keepLines w:val="0"/>
        <w:pageBreakBefore w:val="0"/>
        <w:wordWrap/>
        <w:overflowPunct/>
        <w:topLinePunct w:val="0"/>
        <w:bidi w:val="0"/>
        <w:spacing w:line="576" w:lineRule="exact"/>
        <w:ind w:left="0" w:leftChars="0" w:right="0" w:firstLine="648" w:firstLineChars="200"/>
        <w:jc w:val="both"/>
        <w:rPr>
          <w:rFonts w:hint="eastAsia" w:ascii="黑体" w:hAnsi="黑体" w:eastAsia="黑体" w:cs="黑体"/>
          <w:sz w:val="31"/>
          <w:szCs w:val="31"/>
        </w:rPr>
      </w:pPr>
      <w:r>
        <w:rPr>
          <w:rFonts w:hint="eastAsia" w:ascii="黑体" w:hAnsi="黑体" w:eastAsia="黑体" w:cs="黑体"/>
          <w:spacing w:val="7"/>
          <w:sz w:val="31"/>
          <w:szCs w:val="31"/>
        </w:rPr>
        <w:t>一、总体要求</w:t>
      </w:r>
    </w:p>
    <w:p w14:paraId="68874FC4">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z w:val="31"/>
          <w:szCs w:val="32"/>
        </w:rPr>
      </w:pPr>
      <w:r>
        <w:rPr>
          <w:rFonts w:hint="eastAsia" w:ascii="仿宋_GB2312" w:hAnsi="仿宋_GB2312" w:eastAsia="仿宋_GB2312" w:cs="仿宋_GB2312"/>
          <w:spacing w:val="2"/>
          <w:sz w:val="31"/>
          <w:szCs w:val="32"/>
        </w:rPr>
        <w:t>以习近平新时代中国特色社会主义思想为指导，深入贯彻党的二十大和二十届二中、三中全会精神，全面落实党中央</w:t>
      </w:r>
      <w:r>
        <w:rPr>
          <w:rFonts w:hint="eastAsia" w:ascii="仿宋_GB2312" w:hAnsi="仿宋_GB2312" w:eastAsia="仿宋_GB2312" w:cs="仿宋_GB2312"/>
          <w:spacing w:val="2"/>
          <w:sz w:val="31"/>
          <w:szCs w:val="32"/>
          <w:lang w:eastAsia="zh-CN"/>
        </w:rPr>
        <w:t>、</w:t>
      </w:r>
      <w:r>
        <w:rPr>
          <w:rFonts w:hint="eastAsia" w:ascii="仿宋_GB2312" w:hAnsi="仿宋_GB2312" w:eastAsia="仿宋_GB2312" w:cs="仿宋_GB2312"/>
          <w:spacing w:val="2"/>
          <w:sz w:val="31"/>
          <w:szCs w:val="32"/>
        </w:rPr>
        <w:t>国务院</w:t>
      </w:r>
      <w:r>
        <w:rPr>
          <w:rFonts w:hint="eastAsia" w:ascii="仿宋_GB2312" w:hAnsi="仿宋_GB2312" w:eastAsia="仿宋_GB2312" w:cs="仿宋_GB2312"/>
          <w:spacing w:val="2"/>
          <w:sz w:val="31"/>
          <w:szCs w:val="32"/>
          <w:lang w:val="en-US" w:eastAsia="zh-CN"/>
        </w:rPr>
        <w:t>和</w:t>
      </w:r>
      <w:r>
        <w:rPr>
          <w:rFonts w:hint="eastAsia" w:ascii="仿宋_GB2312" w:hAnsi="仿宋_GB2312" w:eastAsia="仿宋_GB2312" w:cs="仿宋_GB2312"/>
          <w:spacing w:val="7"/>
          <w:sz w:val="31"/>
          <w:szCs w:val="32"/>
        </w:rPr>
        <w:t>省委</w:t>
      </w:r>
      <w:r>
        <w:rPr>
          <w:rFonts w:hint="eastAsia" w:ascii="仿宋_GB2312" w:hAnsi="仿宋_GB2312" w:eastAsia="仿宋_GB2312" w:cs="仿宋_GB2312"/>
          <w:spacing w:val="7"/>
          <w:sz w:val="31"/>
          <w:szCs w:val="32"/>
          <w:lang w:eastAsia="zh-CN"/>
        </w:rPr>
        <w:t>、</w:t>
      </w:r>
      <w:r>
        <w:rPr>
          <w:rFonts w:hint="eastAsia" w:ascii="仿宋_GB2312" w:hAnsi="仿宋_GB2312" w:eastAsia="仿宋_GB2312" w:cs="仿宋_GB2312"/>
          <w:spacing w:val="7"/>
          <w:sz w:val="31"/>
          <w:szCs w:val="32"/>
        </w:rPr>
        <w:t>省政府</w:t>
      </w:r>
      <w:r>
        <w:rPr>
          <w:rFonts w:hint="eastAsia" w:ascii="仿宋_GB2312" w:hAnsi="仿宋_GB2312" w:eastAsia="仿宋_GB2312" w:cs="仿宋_GB2312"/>
          <w:spacing w:val="7"/>
          <w:sz w:val="31"/>
          <w:szCs w:val="32"/>
          <w:lang w:val="en-US" w:eastAsia="zh-CN"/>
        </w:rPr>
        <w:t>及</w:t>
      </w:r>
      <w:r>
        <w:rPr>
          <w:rFonts w:hint="eastAsia" w:ascii="仿宋_GB2312" w:hAnsi="仿宋_GB2312" w:eastAsia="仿宋_GB2312" w:cs="仿宋_GB2312"/>
          <w:spacing w:val="7"/>
          <w:sz w:val="31"/>
          <w:szCs w:val="32"/>
          <w:lang w:eastAsia="zh-CN"/>
        </w:rPr>
        <w:t>市委、市政府</w:t>
      </w:r>
      <w:r>
        <w:rPr>
          <w:rFonts w:hint="eastAsia" w:ascii="仿宋_GB2312" w:hAnsi="仿宋_GB2312" w:eastAsia="仿宋_GB2312" w:cs="仿宋_GB2312"/>
          <w:spacing w:val="7"/>
          <w:sz w:val="31"/>
          <w:szCs w:val="32"/>
          <w:highlight w:val="none"/>
        </w:rPr>
        <w:t>决策部署，</w:t>
      </w:r>
      <w:r>
        <w:rPr>
          <w:rFonts w:hint="eastAsia" w:ascii="仿宋_GB2312" w:hAnsi="仿宋_GB2312" w:eastAsia="仿宋_GB2312" w:cs="仿宋_GB2312"/>
          <w:spacing w:val="7"/>
          <w:sz w:val="31"/>
          <w:szCs w:val="32"/>
        </w:rPr>
        <w:t>贯彻总体国家安全观和高质量发展</w:t>
      </w:r>
      <w:r>
        <w:rPr>
          <w:rFonts w:hint="eastAsia" w:ascii="仿宋_GB2312" w:hAnsi="仿宋_GB2312" w:eastAsia="仿宋_GB2312" w:cs="仿宋_GB2312"/>
          <w:spacing w:val="6"/>
          <w:sz w:val="31"/>
          <w:szCs w:val="32"/>
        </w:rPr>
        <w:t>要求，</w:t>
      </w:r>
      <w:r>
        <w:rPr>
          <w:rFonts w:hint="eastAsia" w:ascii="仿宋_GB2312" w:hAnsi="仿宋_GB2312" w:eastAsia="仿宋_GB2312" w:cs="仿宋_GB2312"/>
          <w:spacing w:val="4"/>
          <w:sz w:val="31"/>
          <w:szCs w:val="32"/>
        </w:rPr>
        <w:t>坚持稳中求进工作总基调，锚定建设农业强</w:t>
      </w:r>
      <w:r>
        <w:rPr>
          <w:rFonts w:hint="eastAsia" w:ascii="仿宋_GB2312" w:hAnsi="仿宋_GB2312" w:eastAsia="仿宋_GB2312" w:cs="仿宋_GB2312"/>
          <w:spacing w:val="4"/>
          <w:sz w:val="31"/>
          <w:szCs w:val="32"/>
          <w:lang w:eastAsia="zh-CN"/>
        </w:rPr>
        <w:t>市</w:t>
      </w:r>
      <w:r>
        <w:rPr>
          <w:rFonts w:hint="eastAsia" w:ascii="仿宋_GB2312" w:hAnsi="仿宋_GB2312" w:eastAsia="仿宋_GB2312" w:cs="仿宋_GB2312"/>
          <w:spacing w:val="4"/>
          <w:sz w:val="31"/>
          <w:szCs w:val="32"/>
        </w:rPr>
        <w:t>目标，以稳定实施政</w:t>
      </w:r>
      <w:r>
        <w:rPr>
          <w:rFonts w:hint="eastAsia" w:ascii="仿宋_GB2312" w:hAnsi="仿宋_GB2312" w:eastAsia="仿宋_GB2312" w:cs="仿宋_GB2312"/>
          <w:spacing w:val="3"/>
          <w:sz w:val="31"/>
          <w:szCs w:val="32"/>
        </w:rPr>
        <w:t>策、充分发挥效益为主线，</w:t>
      </w:r>
      <w:r>
        <w:rPr>
          <w:rFonts w:hint="eastAsia" w:ascii="仿宋_GB2312" w:hAnsi="仿宋_GB2312" w:eastAsia="仿宋_GB2312" w:cs="仿宋_GB2312"/>
          <w:spacing w:val="3"/>
          <w:sz w:val="31"/>
          <w:szCs w:val="32"/>
          <w:lang w:val="en-US" w:eastAsia="zh-CN"/>
        </w:rPr>
        <w:t>以新时代农业农村工作“1541”三年攻坚行动为抓手，</w:t>
      </w:r>
      <w:r>
        <w:rPr>
          <w:rFonts w:hint="eastAsia" w:ascii="仿宋_GB2312" w:hAnsi="仿宋_GB2312" w:eastAsia="仿宋_GB2312" w:cs="仿宋_GB2312"/>
          <w:spacing w:val="3"/>
          <w:sz w:val="31"/>
          <w:szCs w:val="32"/>
        </w:rPr>
        <w:t>走好“适宜化、智能化、</w:t>
      </w:r>
      <w:r>
        <w:rPr>
          <w:rFonts w:hint="eastAsia" w:ascii="仿宋_GB2312" w:hAnsi="仿宋_GB2312" w:eastAsia="仿宋_GB2312" w:cs="仿宋_GB2312"/>
          <w:spacing w:val="2"/>
          <w:sz w:val="31"/>
          <w:szCs w:val="32"/>
        </w:rPr>
        <w:t>绿色化</w:t>
      </w:r>
      <w:r>
        <w:rPr>
          <w:rFonts w:hint="eastAsia" w:ascii="仿宋_GB2312" w:hAnsi="仿宋_GB2312" w:eastAsia="仿宋_GB2312" w:cs="仿宋_GB2312"/>
          <w:spacing w:val="2"/>
          <w:sz w:val="31"/>
          <w:szCs w:val="32"/>
          <w:lang w:eastAsia="zh-CN"/>
        </w:rPr>
        <w:t>”</w:t>
      </w:r>
      <w:r>
        <w:rPr>
          <w:rFonts w:hint="eastAsia" w:ascii="仿宋_GB2312" w:hAnsi="仿宋_GB2312" w:eastAsia="仿宋_GB2312" w:cs="仿宋_GB2312"/>
          <w:spacing w:val="2"/>
          <w:sz w:val="31"/>
          <w:szCs w:val="32"/>
        </w:rPr>
        <w:t>发展</w:t>
      </w:r>
      <w:r>
        <w:rPr>
          <w:rFonts w:hint="eastAsia" w:ascii="仿宋_GB2312" w:hAnsi="仿宋_GB2312" w:eastAsia="仿宋_GB2312" w:cs="仿宋_GB2312"/>
          <w:spacing w:val="4"/>
          <w:sz w:val="31"/>
          <w:szCs w:val="32"/>
        </w:rPr>
        <w:t>路径，坚持开拓创新、公平公正、优机优补、严惩违规，支持广大农民群众及农业生产经营组织购置使用先进适用的农业机械，引领农机研产推用全链协同，加快发展新质生产力，打造全程全面高质</w:t>
      </w:r>
      <w:r>
        <w:rPr>
          <w:rFonts w:hint="eastAsia" w:ascii="仿宋_GB2312" w:hAnsi="仿宋_GB2312" w:eastAsia="仿宋_GB2312" w:cs="仿宋_GB2312"/>
          <w:spacing w:val="3"/>
          <w:sz w:val="31"/>
          <w:szCs w:val="32"/>
        </w:rPr>
        <w:t>高效“天府良机</w:t>
      </w:r>
      <w:r>
        <w:rPr>
          <w:rFonts w:hint="eastAsia" w:ascii="仿宋_GB2312" w:hAnsi="仿宋_GB2312" w:eastAsia="仿宋_GB2312" w:cs="仿宋_GB2312"/>
          <w:spacing w:val="-112"/>
          <w:sz w:val="31"/>
          <w:szCs w:val="32"/>
          <w:lang w:eastAsia="zh-CN"/>
        </w:rPr>
        <w:t>”</w:t>
      </w:r>
      <w:r>
        <w:rPr>
          <w:rFonts w:hint="eastAsia" w:ascii="仿宋_GB2312" w:hAnsi="仿宋_GB2312" w:eastAsia="仿宋_GB2312" w:cs="仿宋_GB2312"/>
          <w:spacing w:val="3"/>
          <w:sz w:val="31"/>
          <w:szCs w:val="32"/>
        </w:rPr>
        <w:t>，为确保守住国家粮食安全和不发</w:t>
      </w:r>
      <w:r>
        <w:rPr>
          <w:rFonts w:hint="eastAsia" w:ascii="仿宋_GB2312" w:hAnsi="仿宋_GB2312" w:eastAsia="仿宋_GB2312" w:cs="仿宋_GB2312"/>
          <w:spacing w:val="2"/>
          <w:sz w:val="31"/>
          <w:szCs w:val="32"/>
        </w:rPr>
        <w:t>生规模性返贫</w:t>
      </w:r>
      <w:r>
        <w:rPr>
          <w:rFonts w:hint="eastAsia" w:ascii="仿宋_GB2312" w:hAnsi="仿宋_GB2312" w:eastAsia="仿宋_GB2312" w:cs="仿宋_GB2312"/>
          <w:spacing w:val="3"/>
          <w:sz w:val="31"/>
          <w:szCs w:val="32"/>
        </w:rPr>
        <w:t>底线、建设新时代更高水平的“天府粮仓</w:t>
      </w:r>
      <w:r>
        <w:rPr>
          <w:rFonts w:hint="eastAsia" w:ascii="仿宋_GB2312" w:hAnsi="仿宋_GB2312" w:eastAsia="仿宋_GB2312" w:cs="仿宋_GB2312"/>
          <w:spacing w:val="-112"/>
          <w:sz w:val="31"/>
          <w:szCs w:val="32"/>
          <w:lang w:eastAsia="zh-CN"/>
        </w:rPr>
        <w:t>”</w:t>
      </w:r>
      <w:r>
        <w:rPr>
          <w:rFonts w:hint="eastAsia" w:ascii="仿宋_GB2312" w:hAnsi="仿宋_GB2312" w:eastAsia="仿宋_GB2312" w:cs="仿宋_GB2312"/>
          <w:spacing w:val="3"/>
          <w:sz w:val="31"/>
          <w:szCs w:val="32"/>
        </w:rPr>
        <w:t>、加快农</w:t>
      </w:r>
      <w:r>
        <w:rPr>
          <w:rFonts w:hint="eastAsia" w:ascii="仿宋_GB2312" w:hAnsi="仿宋_GB2312" w:eastAsia="仿宋_GB2312" w:cs="仿宋_GB2312"/>
          <w:spacing w:val="2"/>
          <w:sz w:val="31"/>
          <w:szCs w:val="32"/>
        </w:rPr>
        <w:t>业农村现代化</w:t>
      </w:r>
      <w:r>
        <w:rPr>
          <w:rFonts w:hint="eastAsia" w:ascii="仿宋_GB2312" w:hAnsi="仿宋_GB2312" w:eastAsia="仿宋_GB2312" w:cs="仿宋_GB2312"/>
          <w:spacing w:val="5"/>
          <w:sz w:val="31"/>
          <w:szCs w:val="32"/>
        </w:rPr>
        <w:t>提供坚实支撑。</w:t>
      </w:r>
    </w:p>
    <w:p w14:paraId="62E0F390">
      <w:pPr>
        <w:keepNext w:val="0"/>
        <w:keepLines w:val="0"/>
        <w:pageBreakBefore w:val="0"/>
        <w:wordWrap/>
        <w:overflowPunct/>
        <w:topLinePunct w:val="0"/>
        <w:bidi w:val="0"/>
        <w:spacing w:line="576" w:lineRule="exact"/>
        <w:ind w:left="0" w:leftChars="0" w:right="0" w:firstLine="648" w:firstLineChars="200"/>
        <w:jc w:val="both"/>
        <w:outlineLvl w:val="0"/>
        <w:rPr>
          <w:rFonts w:ascii="黑体" w:hAnsi="黑体" w:eastAsia="黑体" w:cs="黑体"/>
          <w:sz w:val="31"/>
          <w:szCs w:val="31"/>
        </w:rPr>
      </w:pPr>
      <w:r>
        <w:rPr>
          <w:rFonts w:ascii="黑体" w:hAnsi="黑体" w:eastAsia="黑体" w:cs="黑体"/>
          <w:spacing w:val="7"/>
          <w:sz w:val="31"/>
          <w:szCs w:val="31"/>
        </w:rPr>
        <w:t>二、实施重点</w:t>
      </w:r>
    </w:p>
    <w:p w14:paraId="2F992D9E">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spacing w:val="3"/>
          <w:sz w:val="31"/>
          <w:szCs w:val="32"/>
        </w:rPr>
      </w:pPr>
      <w:r>
        <w:rPr>
          <w:rFonts w:hint="eastAsia" w:ascii="楷体_GB2312" w:hAnsi="楷体_GB2312" w:eastAsia="楷体_GB2312" w:cs="楷体_GB2312"/>
          <w:spacing w:val="2"/>
          <w:sz w:val="31"/>
          <w:szCs w:val="31"/>
        </w:rPr>
        <w:t>（一）在支持重点方面着力突出稳产保供。</w:t>
      </w:r>
      <w:r>
        <w:rPr>
          <w:rFonts w:hint="eastAsia" w:ascii="仿宋_GB2312" w:hAnsi="仿宋_GB2312" w:eastAsia="仿宋_GB2312" w:cs="仿宋_GB2312"/>
          <w:spacing w:val="3"/>
          <w:sz w:val="31"/>
          <w:szCs w:val="32"/>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4CE88417">
      <w:pPr>
        <w:keepNext w:val="0"/>
        <w:keepLines w:val="0"/>
        <w:pageBreakBefore w:val="0"/>
        <w:wordWrap/>
        <w:overflowPunct/>
        <w:topLinePunct w:val="0"/>
        <w:bidi w:val="0"/>
        <w:spacing w:line="576" w:lineRule="exact"/>
        <w:ind w:left="0" w:leftChars="0" w:right="0" w:firstLine="625"/>
        <w:jc w:val="both"/>
        <w:rPr>
          <w:rFonts w:ascii="仿宋" w:hAnsi="仿宋" w:eastAsia="仿宋" w:cs="仿宋"/>
          <w:sz w:val="31"/>
          <w:szCs w:val="31"/>
        </w:rPr>
      </w:pPr>
      <w:r>
        <w:rPr>
          <w:rFonts w:hint="eastAsia" w:ascii="楷体_GB2312" w:hAnsi="楷体_GB2312" w:eastAsia="楷体_GB2312" w:cs="楷体_GB2312"/>
          <w:spacing w:val="2"/>
          <w:sz w:val="31"/>
          <w:szCs w:val="31"/>
        </w:rPr>
        <w:t>（二）在补贴标准方面着力做到有升有降。</w:t>
      </w:r>
      <w:r>
        <w:rPr>
          <w:rFonts w:hint="eastAsia" w:ascii="仿宋_GB2312" w:hAnsi="仿宋_GB2312" w:eastAsia="仿宋_GB2312" w:cs="仿宋_GB2312"/>
          <w:spacing w:val="3"/>
          <w:sz w:val="31"/>
          <w:szCs w:val="32"/>
        </w:rPr>
        <w:t>结合</w:t>
      </w:r>
      <w:r>
        <w:rPr>
          <w:rFonts w:hint="eastAsia" w:ascii="仿宋_GB2312" w:hAnsi="仿宋_GB2312" w:eastAsia="仿宋_GB2312" w:cs="仿宋_GB2312"/>
          <w:spacing w:val="3"/>
          <w:sz w:val="31"/>
          <w:szCs w:val="32"/>
          <w:lang w:val="en-US" w:eastAsia="zh-CN"/>
        </w:rPr>
        <w:t>四川</w:t>
      </w:r>
      <w:r>
        <w:rPr>
          <w:rFonts w:hint="eastAsia" w:ascii="仿宋_GB2312" w:hAnsi="仿宋_GB2312" w:eastAsia="仿宋_GB2312" w:cs="仿宋_GB2312"/>
          <w:spacing w:val="3"/>
          <w:sz w:val="31"/>
          <w:szCs w:val="32"/>
        </w:rPr>
        <w:t>农业生产特点、农机化发展阶段和需求，提高部分重点机具的补贴额，测算比例从30%提高到35%，其中包括经省级及以上农机鉴定（认证）机构鉴定或认证（可采信有资质的检验检测机构的报告）并报农业农村部、财政部备案的新能源农机（混合动力或电动等重点机具）。在资金总量控制前提下，适当提高区域内严重不足、生产急需的移动式烘干机、履带式拖拉机、履带式收获机补贴额，测算比例不得超过40%。对区域内保有量明显过多、技术相对落后的机具，实行降低补贴标准、退坡处理直至退出补贴范围。</w:t>
      </w:r>
    </w:p>
    <w:p w14:paraId="60364037">
      <w:pPr>
        <w:keepNext w:val="0"/>
        <w:keepLines w:val="0"/>
        <w:pageBreakBefore w:val="0"/>
        <w:wordWrap/>
        <w:overflowPunct/>
        <w:topLinePunct w:val="0"/>
        <w:bidi w:val="0"/>
        <w:spacing w:line="576" w:lineRule="exact"/>
        <w:ind w:left="0" w:leftChars="0" w:right="0" w:firstLine="625"/>
        <w:jc w:val="both"/>
        <w:rPr>
          <w:rFonts w:ascii="仿宋" w:hAnsi="仿宋" w:eastAsia="仿宋" w:cs="仿宋"/>
          <w:color w:val="FF0000"/>
          <w:sz w:val="31"/>
          <w:szCs w:val="31"/>
        </w:rPr>
      </w:pPr>
      <w:r>
        <w:rPr>
          <w:rFonts w:hint="eastAsia" w:ascii="楷体_GB2312" w:hAnsi="楷体_GB2312" w:eastAsia="楷体_GB2312" w:cs="楷体_GB2312"/>
          <w:spacing w:val="2"/>
          <w:sz w:val="31"/>
          <w:szCs w:val="31"/>
        </w:rPr>
        <w:t>（</w:t>
      </w:r>
      <w:r>
        <w:rPr>
          <w:rFonts w:hint="eastAsia" w:ascii="楷体_GB2312" w:hAnsi="楷体_GB2312" w:eastAsia="楷体_GB2312" w:cs="楷体_GB2312"/>
          <w:spacing w:val="2"/>
          <w:sz w:val="31"/>
          <w:szCs w:val="31"/>
          <w:lang w:val="en-US" w:eastAsia="zh-CN"/>
        </w:rPr>
        <w:t>三</w:t>
      </w:r>
      <w:r>
        <w:rPr>
          <w:rFonts w:hint="eastAsia" w:ascii="楷体_GB2312" w:hAnsi="楷体_GB2312" w:eastAsia="楷体_GB2312" w:cs="楷体_GB2312"/>
          <w:spacing w:val="2"/>
          <w:sz w:val="31"/>
          <w:szCs w:val="31"/>
        </w:rPr>
        <w:t>）在实施创新方面着力支持先行先试。</w:t>
      </w:r>
      <w:r>
        <w:rPr>
          <w:rFonts w:hint="eastAsia" w:ascii="仿宋_GB2312" w:hAnsi="仿宋_GB2312" w:eastAsia="仿宋_GB2312" w:cs="仿宋_GB2312"/>
          <w:spacing w:val="3"/>
          <w:sz w:val="31"/>
          <w:szCs w:val="32"/>
        </w:rPr>
        <w:t>深化农机购置与应用补贴试点，探索与农机作业量挂钩的兑付补贴资金的操作方式、对参与防灾减灾的机具达到一定作业量后适当给予应用补贴的方式方法。加快先进适用短板创新机具推广应用。</w:t>
      </w:r>
    </w:p>
    <w:p w14:paraId="1564308C">
      <w:pPr>
        <w:keepNext w:val="0"/>
        <w:keepLines w:val="0"/>
        <w:pageBreakBefore w:val="0"/>
        <w:wordWrap/>
        <w:overflowPunct/>
        <w:topLinePunct w:val="0"/>
        <w:bidi w:val="0"/>
        <w:spacing w:line="576" w:lineRule="exact"/>
        <w:ind w:left="0" w:leftChars="0" w:right="0"/>
        <w:jc w:val="both"/>
        <w:rPr>
          <w:rFonts w:ascii="仿宋" w:hAnsi="仿宋" w:eastAsia="仿宋" w:cs="仿宋"/>
          <w:spacing w:val="7"/>
          <w:sz w:val="31"/>
          <w:szCs w:val="31"/>
        </w:rPr>
      </w:pPr>
      <w:r>
        <w:rPr>
          <w:rFonts w:hint="eastAsia" w:ascii="楷体_GB2312" w:hAnsi="楷体_GB2312" w:eastAsia="楷体_GB2312" w:cs="楷体_GB2312"/>
          <w:spacing w:val="2"/>
          <w:sz w:val="31"/>
          <w:szCs w:val="31"/>
        </w:rPr>
        <w:t>（</w:t>
      </w:r>
      <w:r>
        <w:rPr>
          <w:rFonts w:hint="eastAsia" w:ascii="楷体_GB2312" w:hAnsi="楷体_GB2312" w:eastAsia="楷体_GB2312" w:cs="楷体_GB2312"/>
          <w:spacing w:val="2"/>
          <w:sz w:val="31"/>
          <w:szCs w:val="31"/>
          <w:lang w:val="en-US" w:eastAsia="zh-CN"/>
        </w:rPr>
        <w:t>四</w:t>
      </w:r>
      <w:r>
        <w:rPr>
          <w:rFonts w:hint="eastAsia" w:ascii="楷体_GB2312" w:hAnsi="楷体_GB2312" w:eastAsia="楷体_GB2312" w:cs="楷体_GB2312"/>
          <w:spacing w:val="2"/>
          <w:sz w:val="31"/>
          <w:szCs w:val="31"/>
        </w:rPr>
        <w:t>）在风险防控方面着力提高监管水平。</w:t>
      </w:r>
      <w:r>
        <w:rPr>
          <w:rFonts w:hint="eastAsia" w:ascii="仿宋_GB2312" w:hAnsi="仿宋_GB2312" w:eastAsia="仿宋_GB2312" w:cs="仿宋_GB2312"/>
          <w:spacing w:val="3"/>
          <w:sz w:val="31"/>
          <w:szCs w:val="32"/>
        </w:rPr>
        <w:t>运用全国农机作业指挥调度平台及地方平台，推进补贴机具唯一身份识别，发挥大数据信息优势，提升违规行为排查和监控能力。强化属地管理责任和多部门联动，完善市、县</w:t>
      </w:r>
      <w:r>
        <w:rPr>
          <w:rFonts w:hint="eastAsia" w:ascii="仿宋_GB2312" w:hAnsi="仿宋_GB2312" w:eastAsia="仿宋_GB2312" w:cs="仿宋_GB2312"/>
          <w:spacing w:val="3"/>
          <w:sz w:val="31"/>
          <w:szCs w:val="32"/>
          <w:lang w:eastAsia="zh-CN"/>
        </w:rPr>
        <w:t>、乡</w:t>
      </w:r>
      <w:r>
        <w:rPr>
          <w:rFonts w:hint="eastAsia" w:ascii="仿宋_GB2312" w:hAnsi="仿宋_GB2312" w:eastAsia="仿宋_GB2312" w:cs="仿宋_GB2312"/>
          <w:spacing w:val="3"/>
          <w:sz w:val="31"/>
          <w:szCs w:val="32"/>
        </w:rPr>
        <w:t>三级监管体系，全流程加强补贴机具研产推用各环节监督管理。鼓励支持农机行业协会发挥引领行业自律功能，强化社会监督。</w:t>
      </w:r>
    </w:p>
    <w:p w14:paraId="22352D62">
      <w:pPr>
        <w:keepNext w:val="0"/>
        <w:keepLines w:val="0"/>
        <w:pageBreakBefore w:val="0"/>
        <w:wordWrap/>
        <w:overflowPunct/>
        <w:topLinePunct w:val="0"/>
        <w:bidi w:val="0"/>
        <w:spacing w:line="576" w:lineRule="exact"/>
        <w:ind w:left="0" w:leftChars="0" w:right="0"/>
        <w:jc w:val="both"/>
        <w:rPr>
          <w:rFonts w:ascii="仿宋" w:hAnsi="仿宋" w:eastAsia="仿宋" w:cs="仿宋"/>
          <w:sz w:val="31"/>
          <w:szCs w:val="31"/>
        </w:rPr>
      </w:pPr>
      <w:r>
        <w:rPr>
          <w:rFonts w:hint="eastAsia" w:ascii="楷体_GB2312" w:hAnsi="楷体_GB2312" w:eastAsia="楷体_GB2312" w:cs="楷体_GB2312"/>
          <w:spacing w:val="2"/>
          <w:sz w:val="31"/>
          <w:szCs w:val="31"/>
        </w:rPr>
        <w:t>（</w:t>
      </w:r>
      <w:r>
        <w:rPr>
          <w:rFonts w:hint="eastAsia" w:ascii="楷体_GB2312" w:hAnsi="楷体_GB2312" w:eastAsia="楷体_GB2312" w:cs="楷体_GB2312"/>
          <w:spacing w:val="2"/>
          <w:sz w:val="31"/>
          <w:szCs w:val="31"/>
          <w:lang w:val="en-US" w:eastAsia="zh-CN"/>
        </w:rPr>
        <w:t>五</w:t>
      </w:r>
      <w:r>
        <w:rPr>
          <w:rFonts w:hint="eastAsia" w:ascii="楷体_GB2312" w:hAnsi="楷体_GB2312" w:eastAsia="楷体_GB2312" w:cs="楷体_GB2312"/>
          <w:spacing w:val="2"/>
          <w:sz w:val="31"/>
          <w:szCs w:val="31"/>
        </w:rPr>
        <w:t>）在补贴兑付方面着力提升服务效能。</w:t>
      </w:r>
      <w:r>
        <w:rPr>
          <w:rFonts w:hint="eastAsia" w:ascii="仿宋_GB2312" w:hAnsi="仿宋_GB2312" w:eastAsia="仿宋_GB2312" w:cs="仿宋_GB2312"/>
          <w:spacing w:val="3"/>
          <w:sz w:val="31"/>
          <w:szCs w:val="32"/>
        </w:rPr>
        <w:t>优化简化资金兑付流程，增加结算批次，推进补贴全流程线上办理，提高补贴办理便利性，确保及时兑付。加强补贴资金管理，落实专款专用要求，加大对超期不兑付、兑付慢问题治理力度，补贴预算执行情况与下一年度资金安排挂钩。探索建立加快补贴资金兑付的新机制。</w:t>
      </w:r>
    </w:p>
    <w:p w14:paraId="47CD388A">
      <w:pPr>
        <w:keepNext w:val="0"/>
        <w:keepLines w:val="0"/>
        <w:pageBreakBefore w:val="0"/>
        <w:wordWrap/>
        <w:overflowPunct/>
        <w:topLinePunct w:val="0"/>
        <w:bidi w:val="0"/>
        <w:spacing w:line="576" w:lineRule="exact"/>
        <w:ind w:left="0" w:leftChars="0" w:right="0"/>
        <w:jc w:val="both"/>
        <w:outlineLvl w:val="0"/>
        <w:rPr>
          <w:rFonts w:hint="eastAsia" w:ascii="黑体" w:hAnsi="黑体" w:eastAsia="黑体" w:cs="黑体"/>
          <w:sz w:val="31"/>
          <w:szCs w:val="31"/>
          <w:lang w:val="en-US" w:eastAsia="zh-CN"/>
        </w:rPr>
      </w:pPr>
      <w:r>
        <w:rPr>
          <w:rFonts w:hint="eastAsia" w:ascii="黑体" w:hAnsi="黑体" w:eastAsia="黑体" w:cs="黑体"/>
          <w:spacing w:val="8"/>
          <w:sz w:val="31"/>
          <w:szCs w:val="31"/>
        </w:rPr>
        <w:t>三、补贴</w:t>
      </w:r>
      <w:r>
        <w:rPr>
          <w:rFonts w:hint="eastAsia" w:ascii="黑体" w:hAnsi="黑体" w:eastAsia="黑体" w:cs="黑体"/>
          <w:spacing w:val="8"/>
          <w:sz w:val="31"/>
          <w:szCs w:val="31"/>
          <w:lang w:val="en-US" w:eastAsia="zh-CN"/>
        </w:rPr>
        <w:t>范围</w:t>
      </w:r>
      <w:r>
        <w:rPr>
          <w:rFonts w:hint="eastAsia" w:ascii="黑体" w:hAnsi="黑体" w:eastAsia="黑体" w:cs="黑体"/>
          <w:spacing w:val="8"/>
          <w:sz w:val="31"/>
          <w:szCs w:val="31"/>
        </w:rPr>
        <w:t>和补贴</w:t>
      </w:r>
      <w:r>
        <w:rPr>
          <w:rFonts w:hint="eastAsia" w:ascii="黑体" w:hAnsi="黑体" w:eastAsia="黑体" w:cs="黑体"/>
          <w:spacing w:val="8"/>
          <w:sz w:val="31"/>
          <w:szCs w:val="31"/>
          <w:lang w:val="en-US" w:eastAsia="zh-CN"/>
        </w:rPr>
        <w:t>机具</w:t>
      </w:r>
    </w:p>
    <w:p w14:paraId="1C0E331A">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（一）常规机具</w:t>
      </w:r>
    </w:p>
    <w:p w14:paraId="13B83936">
      <w:pPr>
        <w:pStyle w:val="2"/>
        <w:keepNext w:val="0"/>
        <w:keepLines w:val="0"/>
        <w:pageBreakBefore w:val="0"/>
        <w:wordWrap/>
        <w:overflowPunct/>
        <w:topLinePunct w:val="0"/>
        <w:bidi w:val="0"/>
        <w:adjustRightInd w:val="0"/>
        <w:snapToGri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1"/>
          <w:sz w:val="32"/>
          <w:szCs w:val="32"/>
        </w:rPr>
        <w:t>根据中央财政资金四川农机购置补贴机具种类范围，结合我市农业生产需要</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1"/>
          <w:sz w:val="32"/>
          <w:szCs w:val="32"/>
        </w:rPr>
        <w:t>全市农机购置补贴机具种类范围为22大类41个小类101个品目（</w:t>
      </w:r>
      <w:r>
        <w:rPr>
          <w:rFonts w:hint="eastAsia" w:ascii="仿宋_GB2312" w:hAnsi="仿宋_GB2312" w:eastAsia="仿宋_GB2312" w:cs="仿宋_GB2312"/>
          <w:b w:val="0"/>
          <w:bCs w:val="0"/>
          <w:kern w:val="21"/>
          <w:sz w:val="32"/>
          <w:szCs w:val="32"/>
          <w:lang w:val="en-US" w:eastAsia="zh-CN"/>
        </w:rPr>
        <w:t>详见附件1</w:t>
      </w:r>
      <w:r>
        <w:rPr>
          <w:rFonts w:hint="eastAsia" w:ascii="仿宋_GB2312" w:hAnsi="仿宋_GB2312" w:eastAsia="仿宋_GB2312" w:cs="仿宋_GB2312"/>
          <w:b w:val="0"/>
          <w:bCs w:val="0"/>
          <w:kern w:val="21"/>
          <w:sz w:val="32"/>
          <w:szCs w:val="32"/>
        </w:rPr>
        <w:t>），机具种类范围</w:t>
      </w:r>
      <w:r>
        <w:rPr>
          <w:rFonts w:hint="eastAsia" w:ascii="仿宋_GB2312" w:hAnsi="仿宋_GB2312" w:eastAsia="仿宋_GB2312" w:cs="仿宋_GB2312"/>
          <w:b w:val="0"/>
          <w:bCs w:val="0"/>
          <w:sz w:val="32"/>
          <w:szCs w:val="32"/>
        </w:rPr>
        <w:t>实行年度动态调整</w:t>
      </w:r>
      <w:r>
        <w:rPr>
          <w:rFonts w:hint="eastAsia" w:ascii="仿宋_GB2312" w:hAnsi="仿宋_GB2312" w:eastAsia="仿宋_GB2312" w:cs="仿宋_GB2312"/>
          <w:b w:val="0"/>
          <w:bCs w:val="0"/>
          <w:kern w:val="21"/>
          <w:sz w:val="32"/>
          <w:szCs w:val="32"/>
        </w:rPr>
        <w:t>。</w:t>
      </w:r>
    </w:p>
    <w:p w14:paraId="7E58A7CF">
      <w:pPr>
        <w:pStyle w:val="2"/>
        <w:keepNext w:val="0"/>
        <w:keepLines w:val="0"/>
        <w:pageBreakBefore w:val="0"/>
        <w:wordWrap/>
        <w:overflowPunct/>
        <w:topLinePunct w:val="0"/>
        <w:bidi w:val="0"/>
        <w:adjustRightInd w:val="0"/>
        <w:snapToGri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农用无人驾驶航空器补贴对象、补贴操作要求与常规补贴产品保持一致，具体方案另行通知。</w:t>
      </w:r>
    </w:p>
    <w:p w14:paraId="67007DDB">
      <w:pPr>
        <w:pStyle w:val="2"/>
        <w:keepNext w:val="0"/>
        <w:keepLines w:val="0"/>
        <w:pageBreakBefore w:val="0"/>
        <w:wordWrap/>
        <w:overflowPunct/>
        <w:topLinePunct w:val="0"/>
        <w:bidi w:val="0"/>
        <w:adjustRightIn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常规机具必须是全省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10号）有关规定予以确定，如有调整，按农业农村部、财政部最新规定执行。</w:t>
      </w:r>
    </w:p>
    <w:p w14:paraId="650A2ED7">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（二）农机创新产品</w:t>
      </w:r>
    </w:p>
    <w:p w14:paraId="18DA2059">
      <w:pPr>
        <w:pStyle w:val="2"/>
        <w:keepNext w:val="0"/>
        <w:keepLines w:val="0"/>
        <w:pageBreakBefore w:val="0"/>
        <w:wordWrap/>
        <w:overflowPunct/>
        <w:topLinePunct w:val="0"/>
        <w:bidi w:val="0"/>
        <w:adjustRightIn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专项鉴定产品。根据农业生产和农机装备补短板需要，</w:t>
      </w:r>
      <w:bookmarkStart w:id="0" w:name="_Hlk171501119"/>
      <w:r>
        <w:rPr>
          <w:rFonts w:hint="eastAsia" w:ascii="仿宋_GB2312" w:hAnsi="仿宋_GB2312" w:eastAsia="仿宋_GB2312" w:cs="仿宋_GB2312"/>
          <w:b w:val="0"/>
          <w:bCs w:val="0"/>
          <w:sz w:val="32"/>
          <w:szCs w:val="32"/>
        </w:rPr>
        <w:t>按照</w:t>
      </w:r>
      <w:bookmarkEnd w:id="0"/>
      <w:r>
        <w:rPr>
          <w:rFonts w:hint="eastAsia" w:ascii="仿宋_GB2312" w:hAnsi="仿宋_GB2312" w:eastAsia="仿宋_GB2312" w:cs="仿宋_GB2312"/>
          <w:b w:val="0"/>
          <w:bCs w:val="0"/>
          <w:sz w:val="32"/>
          <w:szCs w:val="32"/>
        </w:rPr>
        <w:t>《四川省农机专项鉴定产品购置补贴实施工作规范（试行）》有关要求，通过征集建议、专家评议、审定公示、发布实施等程序，将符合条件的产品列入补贴范围。</w:t>
      </w:r>
    </w:p>
    <w:p w14:paraId="55539897">
      <w:pPr>
        <w:pStyle w:val="2"/>
        <w:keepNext w:val="0"/>
        <w:keepLines w:val="0"/>
        <w:pageBreakBefore w:val="0"/>
        <w:wordWrap/>
        <w:overflowPunct/>
        <w:topLinePunct w:val="0"/>
        <w:bidi w:val="0"/>
        <w:adjustRightInd w:val="0"/>
        <w:snapToGri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pacing w:val="3"/>
          <w:sz w:val="32"/>
          <w:szCs w:val="32"/>
          <w:lang w:val="en-US" w:eastAsia="zh-CN"/>
        </w:rPr>
        <w:t>.</w:t>
      </w:r>
      <w:r>
        <w:rPr>
          <w:rFonts w:hint="eastAsia" w:ascii="仿宋_GB2312" w:hAnsi="仿宋_GB2312" w:eastAsia="仿宋_GB2312" w:cs="仿宋_GB2312"/>
          <w:b w:val="0"/>
          <w:bCs w:val="0"/>
          <w:sz w:val="32"/>
          <w:szCs w:val="32"/>
        </w:rPr>
        <w:t>农机新产品。按照农业农村部、财政部有关规定组织实施中央财政农机新产品购置补贴试点，将农机装备补短板范围内等符合条件的创新产品，以及暂不能开展农机试验鉴定的新型农机产品和不适宜鉴定的成套设施装备列入补贴范围。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13AEA348">
      <w:pPr>
        <w:pStyle w:val="2"/>
        <w:keepNext w:val="0"/>
        <w:keepLines w:val="0"/>
        <w:pageBreakBefore w:val="0"/>
        <w:wordWrap/>
        <w:overflowPunct/>
        <w:topLinePunct w:val="0"/>
        <w:bidi w:val="0"/>
        <w:adjustRightIn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除上述机具外，地方特色农业发展所需和小区域适用性强的机具，可列入各县（市、区）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市直园区</w:t>
      </w:r>
      <w:r>
        <w:rPr>
          <w:rFonts w:hint="eastAsia" w:ascii="仿宋_GB2312" w:hAnsi="仿宋_GB2312" w:eastAsia="仿宋_GB2312" w:cs="仿宋_GB2312"/>
          <w:b w:val="0"/>
          <w:bCs w:val="0"/>
          <w:sz w:val="32"/>
          <w:szCs w:val="32"/>
        </w:rPr>
        <w:t>本级财政安排资金的补贴范围，具体补贴机具品目和补贴标准由</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县（市、区）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市直园区</w:t>
      </w:r>
      <w:r>
        <w:rPr>
          <w:rFonts w:hint="eastAsia" w:ascii="仿宋_GB2312" w:hAnsi="仿宋_GB2312" w:eastAsia="仿宋_GB2312" w:cs="仿宋_GB2312"/>
          <w:b w:val="0"/>
          <w:bCs w:val="0"/>
          <w:sz w:val="32"/>
          <w:szCs w:val="32"/>
        </w:rPr>
        <w:t>自定，补贴额测算比例不超过35%，不得占用中央财政补贴资金。</w:t>
      </w:r>
    </w:p>
    <w:p w14:paraId="14F02DBC">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四、补贴对象和补贴标准</w:t>
      </w:r>
    </w:p>
    <w:p w14:paraId="0DBF9B67">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（一）补贴对象</w:t>
      </w:r>
    </w:p>
    <w:p w14:paraId="1987883F">
      <w:pPr>
        <w:pStyle w:val="2"/>
        <w:keepNext w:val="0"/>
        <w:keepLines w:val="0"/>
        <w:pageBreakBefore w:val="0"/>
        <w:wordWrap/>
        <w:overflowPunct/>
        <w:topLinePunct w:val="0"/>
        <w:bidi w:val="0"/>
        <w:adjustRightInd w:val="0"/>
        <w:spacing w:after="0" w:line="576" w:lineRule="exact"/>
        <w:ind w:left="0" w:leftChars="0" w:right="0" w:firstLine="640" w:firstLineChars="200"/>
        <w:jc w:val="both"/>
        <w:rPr>
          <w:rFonts w:hint="eastAsia" w:ascii="仿宋_GB2312" w:hAnsi="仿宋_GB2312" w:eastAsia="仿宋_GB2312" w:cs="仿宋_GB2312"/>
          <w:b w:val="0"/>
          <w:bCs w:val="0"/>
          <w:spacing w:val="-10"/>
          <w:sz w:val="32"/>
          <w:szCs w:val="32"/>
        </w:rPr>
      </w:pPr>
      <w:r>
        <w:rPr>
          <w:rFonts w:hint="eastAsia" w:ascii="仿宋_GB2312" w:hAnsi="仿宋_GB2312" w:eastAsia="仿宋_GB2312" w:cs="仿宋_GB2312"/>
          <w:b w:val="0"/>
          <w:bCs w:val="0"/>
          <w:sz w:val="32"/>
          <w:szCs w:val="32"/>
        </w:rPr>
        <w:t>补贴对象为从事农业生产的农民和农业生产经营组织（以下简称“购机者”），其中农业生产经营组织包括农村集体经济组织、</w:t>
      </w:r>
      <w:r>
        <w:rPr>
          <w:rFonts w:hint="eastAsia" w:ascii="仿宋_GB2312" w:hAnsi="仿宋_GB2312" w:eastAsia="仿宋_GB2312" w:cs="仿宋_GB2312"/>
          <w:b w:val="0"/>
          <w:bCs w:val="0"/>
          <w:spacing w:val="-10"/>
          <w:sz w:val="32"/>
          <w:szCs w:val="32"/>
        </w:rPr>
        <w:t>农民专业合作经济组织、农业企业和其他从事农业生产经营的组织。</w:t>
      </w:r>
    </w:p>
    <w:p w14:paraId="629B860E">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（二）补贴标准</w:t>
      </w:r>
    </w:p>
    <w:p w14:paraId="5FC0F4B0">
      <w:pPr>
        <w:pStyle w:val="2"/>
        <w:keepNext w:val="0"/>
        <w:keepLines w:val="0"/>
        <w:pageBreakBefore w:val="0"/>
        <w:wordWrap/>
        <w:overflowPunct/>
        <w:topLinePunct w:val="0"/>
        <w:bidi w:val="0"/>
        <w:adjustRightInd w:val="0"/>
        <w:snapToGrid w:val="0"/>
        <w:spacing w:after="0"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央财政农机购置与应用补贴实行定额补贴。农业农村部、财政部组织制定全国补贴范围内通用类农业机械最高补贴额。四川省按照不超过同类同档产品上年市场销售均价的30%测算确定四川省补贴范围内农业机械的补贴额，其中通用类机械不得超过最高补贴额。围绕农业生产急需适用、重点短板机具的推广应用，选择部分产品提高补贴额测算比例，补贴额测算比例原则上最高不超过35%。对区域内保有量明显过多、技术相对落后的机具品目或档次降低补贴标准并逐步退出补贴范围。</w:t>
      </w:r>
    </w:p>
    <w:p w14:paraId="670F82E9">
      <w:pPr>
        <w:keepNext w:val="0"/>
        <w:keepLines w:val="0"/>
        <w:pageBreakBefore w:val="0"/>
        <w:wordWrap/>
        <w:overflowPunct/>
        <w:topLinePunct w:val="0"/>
        <w:bidi w:val="0"/>
        <w:adjustRightInd w:val="0"/>
        <w:spacing w:line="576" w:lineRule="exact"/>
        <w:ind w:left="0" w:leftChars="0" w:right="0" w:firstLine="619" w:firstLineChars="200"/>
        <w:jc w:val="both"/>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1</w:t>
      </w:r>
      <w:r>
        <w:rPr>
          <w:rFonts w:hint="eastAsia" w:ascii="仿宋_GB2312" w:hAnsi="仿宋_GB2312" w:eastAsia="仿宋_GB2312" w:cs="仿宋_GB2312"/>
          <w:b/>
          <w:bCs/>
          <w:spacing w:val="-6"/>
          <w:sz w:val="32"/>
          <w:szCs w:val="32"/>
          <w:lang w:val="en-US" w:eastAsia="zh-CN"/>
        </w:rPr>
        <w:t>.</w:t>
      </w:r>
      <w:r>
        <w:rPr>
          <w:rFonts w:hint="eastAsia" w:ascii="仿宋_GB2312" w:hAnsi="仿宋_GB2312" w:eastAsia="仿宋_GB2312" w:cs="仿宋_GB2312"/>
          <w:b/>
          <w:bCs/>
          <w:spacing w:val="-6"/>
          <w:sz w:val="32"/>
          <w:szCs w:val="32"/>
        </w:rPr>
        <w:t>补贴额测算比例</w:t>
      </w:r>
    </w:p>
    <w:p w14:paraId="36D85CF2">
      <w:pPr>
        <w:keepNext w:val="0"/>
        <w:keepLines w:val="0"/>
        <w:pageBreakBefore w:val="0"/>
        <w:wordWrap/>
        <w:overflowPunct/>
        <w:topLinePunct w:val="0"/>
        <w:bidi w:val="0"/>
        <w:adjustRightInd w:val="0"/>
        <w:spacing w:line="576" w:lineRule="exact"/>
        <w:ind w:left="0" w:leftChars="0" w:right="0" w:firstLine="619" w:firstLineChars="200"/>
        <w:jc w:val="both"/>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bCs/>
          <w:spacing w:val="-6"/>
          <w:sz w:val="32"/>
          <w:szCs w:val="32"/>
        </w:rPr>
        <w:t>常规补贴机具的测算比例。</w:t>
      </w:r>
      <w:r>
        <w:rPr>
          <w:rFonts w:hint="eastAsia" w:ascii="仿宋_GB2312" w:hAnsi="仿宋_GB2312" w:eastAsia="仿宋_GB2312" w:cs="仿宋_GB2312"/>
          <w:b w:val="0"/>
          <w:bCs w:val="0"/>
          <w:spacing w:val="-6"/>
          <w:sz w:val="32"/>
          <w:szCs w:val="32"/>
        </w:rPr>
        <w:t>补贴额测算比例不超过上年同档次产品市场销售均价的30%，通用类机具补贴额不超过农业农村部、</w:t>
      </w:r>
      <w:r>
        <w:rPr>
          <w:rFonts w:hint="eastAsia" w:ascii="仿宋_GB2312" w:hAnsi="仿宋_GB2312" w:eastAsia="仿宋_GB2312" w:cs="仿宋_GB2312"/>
          <w:b w:val="0"/>
          <w:bCs w:val="0"/>
          <w:sz w:val="32"/>
          <w:szCs w:val="32"/>
        </w:rPr>
        <w:t>财政部发布的最高补贴额。上年市场销售均价原则上</w:t>
      </w:r>
      <w:r>
        <w:rPr>
          <w:rFonts w:hint="eastAsia" w:ascii="仿宋_GB2312" w:hAnsi="仿宋_GB2312" w:eastAsia="仿宋_GB2312" w:cs="仿宋_GB2312"/>
          <w:b w:val="0"/>
          <w:bCs w:val="0"/>
          <w:spacing w:val="-6"/>
          <w:sz w:val="32"/>
          <w:szCs w:val="32"/>
        </w:rPr>
        <w:t>通过</w:t>
      </w:r>
      <w:r>
        <w:rPr>
          <w:rFonts w:hint="eastAsia" w:ascii="仿宋_GB2312" w:hAnsi="仿宋_GB2312" w:eastAsia="仿宋_GB2312" w:cs="仿宋_GB2312"/>
          <w:b w:val="0"/>
          <w:bCs w:val="0"/>
          <w:sz w:val="32"/>
          <w:szCs w:val="32"/>
        </w:rPr>
        <w:t>四川省办理服务系统补贴数据测算，其中新增品目或上年补贴销售数据较少的品目，其相关档次市场销售均价可通过市场调查获取，也可书面委托2家以上有资质的第三方开展专业价格评估、成本测算等方式获取。充分考虑机具主要参数和成本情况，结合全国和四川省情况对同档次机具价格进行摸底调查，按“就低不就高”原则测算。</w:t>
      </w:r>
    </w:p>
    <w:p w14:paraId="7EBA7FDD">
      <w:pPr>
        <w:keepNext w:val="0"/>
        <w:keepLines w:val="0"/>
        <w:pageBreakBefore w:val="0"/>
        <w:wordWrap/>
        <w:overflowPunct/>
        <w:topLinePunct w:val="0"/>
        <w:bidi w:val="0"/>
        <w:adjustRightInd w:val="0"/>
        <w:spacing w:line="576" w:lineRule="exact"/>
        <w:ind w:left="0" w:leftChars="0" w:right="0"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补贴额提高机具的测算比例。</w:t>
      </w:r>
      <w:r>
        <w:rPr>
          <w:rFonts w:hint="eastAsia" w:ascii="仿宋_GB2312" w:hAnsi="仿宋_GB2312" w:eastAsia="仿宋_GB2312" w:cs="仿宋_GB2312"/>
          <w:b w:val="0"/>
          <w:bCs w:val="0"/>
          <w:sz w:val="32"/>
          <w:szCs w:val="32"/>
        </w:rPr>
        <w:t>围绕粮油等主要作物大面积单产提升、机收减损、丘陵山区农业生产急需、农机装备补短板、农业其他领域发展急需，以及事关国家重大战略实施的农业机械的推广应用，选择不超过10个品目且不超过20个档次的产品提高补贴额（含新能源农机），其补贴额测算比例可提高至35%，其中，涉及的通用类品目机具可高于中央财政资金最高补贴额，幅度控制在最高补贴额的20%以内。非通用类品目机具可高于上年度补贴额，幅度控制在最高补贴额的20%以内。在严格控制资金总量下，对区域内严重不足、生产急需的移动式烘干机、履带式拖拉机、履带式收获机，补贴额测算比例可提高至40%，机具需纳入全国农机作业指挥调度平台统一管理，需报农业农村部、财政部备案后实施。</w:t>
      </w:r>
    </w:p>
    <w:p w14:paraId="2070F4EF">
      <w:pPr>
        <w:keepNext w:val="0"/>
        <w:keepLines w:val="0"/>
        <w:pageBreakBefore w:val="0"/>
        <w:wordWrap/>
        <w:overflowPunct/>
        <w:topLinePunct w:val="0"/>
        <w:bidi w:val="0"/>
        <w:adjustRightInd w:val="0"/>
        <w:spacing w:line="576" w:lineRule="exact"/>
        <w:ind w:left="0" w:leftChars="0" w:right="0"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补贴额降低机具的测算比例。</w:t>
      </w:r>
      <w:r>
        <w:rPr>
          <w:rFonts w:hint="eastAsia" w:ascii="仿宋_GB2312" w:hAnsi="仿宋_GB2312" w:eastAsia="仿宋_GB2312" w:cs="仿宋_GB2312"/>
          <w:b w:val="0"/>
          <w:bCs w:val="0"/>
          <w:sz w:val="32"/>
          <w:szCs w:val="32"/>
        </w:rPr>
        <w:t>逐步降低区域内保有量明显过多、技术相对落后机具品目（档次）的补贴额，补贴额测算比例不超过20%，并将部分低价值的机具退出补贴范围。补贴资金不能满足需求的地区，应当在相关年度下调部分机具的补贴额，确保政策效益普惠共享。对轮式拖拉机，除动力换挡和无级变速等档次外，其他档次的补贴额测算比例总体不超过15%，对保有量过多或技术相对落后的档次，补贴额测算比例总体不超过10%。围绕优化完善区域内动力机械结构适当提高测算比例，所测定的补贴额提高幅度不超过中央财政资金最高补贴的20%。</w:t>
      </w:r>
    </w:p>
    <w:p w14:paraId="45CFF18C">
      <w:pPr>
        <w:keepNext w:val="0"/>
        <w:keepLines w:val="0"/>
        <w:pageBreakBefore w:val="0"/>
        <w:wordWrap/>
        <w:overflowPunct/>
        <w:topLinePunct w:val="0"/>
        <w:bidi w:val="0"/>
        <w:adjustRightInd w:val="0"/>
        <w:spacing w:line="576" w:lineRule="exact"/>
        <w:ind w:left="0" w:leftChars="0" w:right="0" w:firstLine="643"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单机补贴限额。</w:t>
      </w:r>
      <w:r>
        <w:rPr>
          <w:rFonts w:hint="eastAsia" w:ascii="仿宋_GB2312" w:hAnsi="仿宋_GB2312" w:eastAsia="仿宋_GB2312" w:cs="仿宋_GB2312"/>
          <w:b w:val="0"/>
          <w:bCs w:val="0"/>
          <w:sz w:val="32"/>
          <w:szCs w:val="32"/>
        </w:rPr>
        <w:t>除上述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甘蔗收获机单机补贴限额不超过40万元；大型自走式棉花收获打包一体机单机补贴限额不超过60万元；大型成套设施装备单套补贴限额不超过60万元。</w:t>
      </w:r>
    </w:p>
    <w:p w14:paraId="03E8801D">
      <w:pPr>
        <w:keepNext w:val="0"/>
        <w:keepLines w:val="0"/>
        <w:pageBreakBefore w:val="0"/>
        <w:wordWrap/>
        <w:overflowPunct/>
        <w:topLinePunct w:val="0"/>
        <w:bidi w:val="0"/>
        <w:adjustRightInd w:val="0"/>
        <w:spacing w:line="576" w:lineRule="exact"/>
        <w:ind w:left="0" w:leftChars="0" w:right="0"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的，农业农村部门会同财政部门应结合实际情况及时组织调查，并将调查情况及时报送农业农村厅、财政厅。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14:paraId="51126B37">
      <w:pPr>
        <w:keepNext w:val="0"/>
        <w:keepLines w:val="0"/>
        <w:pageBreakBefore w:val="0"/>
        <w:wordWrap/>
        <w:overflowPunct/>
        <w:topLinePunct w:val="0"/>
        <w:bidi w:val="0"/>
        <w:spacing w:line="576" w:lineRule="exact"/>
        <w:ind w:left="0" w:leftChars="0" w:right="0"/>
        <w:jc w:val="both"/>
        <w:outlineLvl w:val="0"/>
        <w:rPr>
          <w:rFonts w:hint="eastAsia" w:ascii="黑体" w:hAnsi="黑体" w:eastAsia="黑体" w:cs="黑体"/>
          <w:b w:val="0"/>
          <w:bCs w:val="0"/>
          <w:sz w:val="32"/>
          <w:szCs w:val="32"/>
        </w:rPr>
      </w:pPr>
      <w:r>
        <w:rPr>
          <w:rFonts w:hint="eastAsia" w:ascii="黑体" w:hAnsi="黑体" w:eastAsia="黑体" w:cs="黑体"/>
          <w:b w:val="0"/>
          <w:bCs w:val="0"/>
          <w:spacing w:val="6"/>
          <w:sz w:val="32"/>
          <w:szCs w:val="32"/>
          <w:lang w:val="en-US" w:eastAsia="zh-CN"/>
        </w:rPr>
        <w:t>五</w:t>
      </w:r>
      <w:r>
        <w:rPr>
          <w:rFonts w:hint="eastAsia" w:ascii="黑体" w:hAnsi="黑体" w:eastAsia="黑体" w:cs="黑体"/>
          <w:b w:val="0"/>
          <w:bCs w:val="0"/>
          <w:spacing w:val="6"/>
          <w:sz w:val="32"/>
          <w:szCs w:val="32"/>
        </w:rPr>
        <w:t>、资金分配和使用</w:t>
      </w:r>
    </w:p>
    <w:p w14:paraId="1CDD2D20">
      <w:pPr>
        <w:keepNext w:val="0"/>
        <w:keepLines w:val="0"/>
        <w:pageBreakBefore w:val="0"/>
        <w:wordWrap/>
        <w:overflowPunct/>
        <w:topLinePunct w:val="0"/>
        <w:bidi w:val="0"/>
        <w:spacing w:line="576" w:lineRule="exact"/>
        <w:ind w:left="0" w:leftChars="0" w:right="0" w:firstLine="643"/>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16"/>
          <w:sz w:val="32"/>
          <w:szCs w:val="32"/>
        </w:rPr>
        <w:t>农机购置与应用补贴</w:t>
      </w:r>
      <w:r>
        <w:rPr>
          <w:rFonts w:hint="eastAsia" w:ascii="仿宋_GB2312" w:hAnsi="仿宋_GB2312" w:eastAsia="仿宋_GB2312" w:cs="仿宋_GB2312"/>
          <w:b w:val="0"/>
          <w:bCs w:val="0"/>
          <w:spacing w:val="16"/>
          <w:sz w:val="32"/>
          <w:szCs w:val="32"/>
          <w:lang w:val="en-US" w:eastAsia="zh-CN"/>
        </w:rPr>
        <w:t>支出</w:t>
      </w:r>
      <w:r>
        <w:rPr>
          <w:rFonts w:hint="eastAsia" w:ascii="仿宋_GB2312" w:hAnsi="仿宋_GB2312" w:eastAsia="仿宋_GB2312" w:cs="仿宋_GB2312"/>
          <w:b w:val="0"/>
          <w:bCs w:val="0"/>
          <w:spacing w:val="16"/>
          <w:sz w:val="32"/>
          <w:szCs w:val="32"/>
        </w:rPr>
        <w:t>主要用于支持购置使用</w:t>
      </w:r>
      <w:r>
        <w:rPr>
          <w:rFonts w:hint="eastAsia" w:ascii="仿宋_GB2312" w:hAnsi="仿宋_GB2312" w:eastAsia="仿宋_GB2312" w:cs="仿宋_GB2312"/>
          <w:b w:val="0"/>
          <w:bCs w:val="0"/>
          <w:spacing w:val="15"/>
          <w:sz w:val="32"/>
          <w:szCs w:val="32"/>
        </w:rPr>
        <w:t>先进适用的农业</w:t>
      </w:r>
      <w:r>
        <w:rPr>
          <w:rFonts w:hint="eastAsia" w:ascii="仿宋_GB2312" w:hAnsi="仿宋_GB2312" w:eastAsia="仿宋_GB2312" w:cs="仿宋_GB2312"/>
          <w:b w:val="0"/>
          <w:bCs w:val="0"/>
          <w:spacing w:val="4"/>
          <w:sz w:val="32"/>
          <w:szCs w:val="32"/>
        </w:rPr>
        <w:t>机械，以及开展有关试点和农机报废更新等</w:t>
      </w:r>
      <w:r>
        <w:rPr>
          <w:rFonts w:hint="eastAsia" w:ascii="仿宋_GB2312" w:hAnsi="仿宋_GB2312" w:eastAsia="仿宋_GB2312" w:cs="仿宋_GB2312"/>
          <w:b w:val="0"/>
          <w:bCs w:val="0"/>
          <w:spacing w:val="4"/>
          <w:sz w:val="32"/>
          <w:szCs w:val="32"/>
          <w:lang w:val="en-US" w:eastAsia="zh-CN"/>
        </w:rPr>
        <w:t>方面</w:t>
      </w:r>
      <w:r>
        <w:rPr>
          <w:rFonts w:hint="eastAsia" w:ascii="仿宋_GB2312" w:hAnsi="仿宋_GB2312" w:eastAsia="仿宋_GB2312" w:cs="仿宋_GB2312"/>
          <w:b w:val="0"/>
          <w:bCs w:val="0"/>
          <w:spacing w:val="4"/>
          <w:sz w:val="32"/>
          <w:szCs w:val="32"/>
        </w:rPr>
        <w:t>。</w:t>
      </w:r>
    </w:p>
    <w:p w14:paraId="13983591">
      <w:pPr>
        <w:keepNext w:val="0"/>
        <w:keepLines w:val="0"/>
        <w:pageBreakBefore w:val="0"/>
        <w:wordWrap/>
        <w:overflowPunct/>
        <w:topLinePunct w:val="0"/>
        <w:bidi w:val="0"/>
        <w:spacing w:line="576" w:lineRule="exact"/>
        <w:ind w:left="0" w:leftChars="0" w:right="0"/>
        <w:jc w:val="both"/>
        <w:outlineLvl w:val="0"/>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县（市、区）、市直园区财政部门</w:t>
      </w:r>
      <w:r>
        <w:rPr>
          <w:rFonts w:hint="eastAsia" w:ascii="仿宋_GB2312" w:hAnsi="仿宋_GB2312" w:eastAsia="仿宋_GB2312" w:cs="仿宋_GB2312"/>
          <w:b w:val="0"/>
          <w:bCs w:val="0"/>
          <w:spacing w:val="4"/>
          <w:sz w:val="32"/>
          <w:szCs w:val="32"/>
        </w:rPr>
        <w:t>会同农业农村部门按照有关规定做好资金需求摸底、分配等工作，不突破县级需求上限分配资金，可动态调减资金结转量大、政策实施风险高、资金使用效益低、上年资金兑付率较低地区的预算规模。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农业农村部门要会同财政部门，及时跟踪掌握市场价格变动情况，发现具体产品或档次的财政资金比例过高的，应当及时调查核实，并逐级上报。财政部门会同农业农村部门加强资金使用情况监测，定期调度和通报资金使用进度，督促优先使用结转资金、加快预算执行进度，并按需组织开展余缺调剂，确保不发生资金大量结转，促进资金使用实现两年动态紧平衡。对于发生严重违法违规行为并造成不良影响及预算执行进度严重滞后的地区，扣减下一年度补贴资金预算。</w:t>
      </w:r>
    </w:p>
    <w:p w14:paraId="2EF3980F">
      <w:pPr>
        <w:keepNext w:val="0"/>
        <w:keepLines w:val="0"/>
        <w:pageBreakBefore w:val="0"/>
        <w:wordWrap/>
        <w:overflowPunct/>
        <w:topLinePunct w:val="0"/>
        <w:bidi w:val="0"/>
        <w:spacing w:line="576" w:lineRule="exact"/>
        <w:ind w:left="0" w:leftChars="0" w:right="0"/>
        <w:jc w:val="both"/>
        <w:outlineLvl w:val="0"/>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补贴资金不能满足兑付需求的地方，不得实施累加补贴。在满足兑付需求的前提下，因保障粮食和重要农产品稳定安全供给重大战略需要、农业生产急需适用等情况，需实施累加补贴的，由各县（市、区）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农业农村部门、财政部门联合制定实施方案逐级上报，待农业农村部、财政部备案后</w:t>
      </w:r>
      <w:r>
        <w:rPr>
          <w:rFonts w:hint="eastAsia" w:ascii="仿宋_GB2312" w:hAnsi="仿宋_GB2312" w:eastAsia="仿宋_GB2312" w:cs="仿宋_GB2312"/>
          <w:b w:val="0"/>
          <w:bCs w:val="0"/>
          <w:spacing w:val="4"/>
          <w:sz w:val="32"/>
          <w:szCs w:val="32"/>
          <w:lang w:eastAsia="zh-CN"/>
        </w:rPr>
        <w:t>再进</w:t>
      </w:r>
      <w:r>
        <w:rPr>
          <w:rFonts w:hint="eastAsia" w:ascii="仿宋_GB2312" w:hAnsi="仿宋_GB2312" w:eastAsia="仿宋_GB2312" w:cs="仿宋_GB2312"/>
          <w:b w:val="0"/>
          <w:bCs w:val="0"/>
          <w:spacing w:val="4"/>
          <w:sz w:val="32"/>
          <w:szCs w:val="32"/>
        </w:rPr>
        <w:t>行实施，未按程序报备自行实施的，将扣减相关地区下一年度补贴资金预算。</w:t>
      </w:r>
    </w:p>
    <w:p w14:paraId="12F56475">
      <w:pPr>
        <w:keepNext w:val="0"/>
        <w:keepLines w:val="0"/>
        <w:pageBreakBefore w:val="0"/>
        <w:wordWrap/>
        <w:overflowPunct/>
        <w:topLinePunct w:val="0"/>
        <w:bidi w:val="0"/>
        <w:spacing w:line="576" w:lineRule="exact"/>
        <w:ind w:left="0" w:leftChars="0" w:right="0"/>
        <w:jc w:val="both"/>
        <w:outlineLvl w:val="0"/>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农机购置与应用补贴资金必须足额保障，不得挤占、截留或用于其他支出。按照《中华人民共和国农业机械化促进法》履行法定支出责任，保障补贴资金需求。中央、省级财政安排资金要优先用于以往年度已录入但尚未兑付及当年已购机的补贴申请，并通过办理服务系统予以体现，相关工作开展情况纳入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党委和政府落实耕地保护和粮食安全责任制考核。</w:t>
      </w:r>
    </w:p>
    <w:p w14:paraId="6E021787">
      <w:pPr>
        <w:keepNext w:val="0"/>
        <w:keepLines w:val="0"/>
        <w:pageBreakBefore w:val="0"/>
        <w:wordWrap/>
        <w:overflowPunct/>
        <w:topLinePunct w:val="0"/>
        <w:bidi w:val="0"/>
        <w:spacing w:line="576" w:lineRule="exact"/>
        <w:ind w:left="0" w:leftChars="0" w:right="0"/>
        <w:jc w:val="both"/>
        <w:outlineLvl w:val="0"/>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财政部门要为农业农村部门保障补贴工作实施必要的组织管理经费，包括政策实施绩效考核、机具核验、信息化建设、第三方抽查核验等工作经费。</w:t>
      </w:r>
    </w:p>
    <w:p w14:paraId="31B19CB5">
      <w:pPr>
        <w:keepNext w:val="0"/>
        <w:keepLines w:val="0"/>
        <w:pageBreakBefore w:val="0"/>
        <w:wordWrap/>
        <w:overflowPunct/>
        <w:topLinePunct w:val="0"/>
        <w:bidi w:val="0"/>
        <w:spacing w:line="576" w:lineRule="exact"/>
        <w:ind w:left="0" w:leftChars="0" w:right="0"/>
        <w:jc w:val="both"/>
        <w:outlineLvl w:val="0"/>
        <w:rPr>
          <w:rFonts w:hint="eastAsia" w:ascii="黑体" w:hAnsi="黑体" w:eastAsia="黑体" w:cs="黑体"/>
          <w:b w:val="0"/>
          <w:bCs w:val="0"/>
          <w:sz w:val="32"/>
          <w:szCs w:val="32"/>
          <w:lang w:eastAsia="zh-CN"/>
        </w:rPr>
      </w:pPr>
      <w:r>
        <w:rPr>
          <w:rFonts w:hint="eastAsia" w:ascii="黑体" w:hAnsi="黑体" w:eastAsia="黑体" w:cs="黑体"/>
          <w:b w:val="0"/>
          <w:bCs w:val="0"/>
          <w:spacing w:val="6"/>
          <w:sz w:val="32"/>
          <w:szCs w:val="32"/>
          <w:lang w:val="en-US" w:eastAsia="zh-CN"/>
        </w:rPr>
        <w:t>六</w:t>
      </w:r>
      <w:r>
        <w:rPr>
          <w:rFonts w:hint="eastAsia" w:ascii="黑体" w:hAnsi="黑体" w:eastAsia="黑体" w:cs="黑体"/>
          <w:b w:val="0"/>
          <w:bCs w:val="0"/>
          <w:spacing w:val="6"/>
          <w:sz w:val="32"/>
          <w:szCs w:val="32"/>
        </w:rPr>
        <w:t>、</w:t>
      </w:r>
      <w:r>
        <w:rPr>
          <w:rFonts w:hint="eastAsia" w:ascii="黑体" w:hAnsi="黑体" w:eastAsia="黑体" w:cs="黑体"/>
          <w:b w:val="0"/>
          <w:bCs w:val="0"/>
          <w:spacing w:val="6"/>
          <w:sz w:val="32"/>
          <w:szCs w:val="32"/>
          <w:lang w:val="en-US" w:eastAsia="zh-CN"/>
        </w:rPr>
        <w:t>操作</w:t>
      </w:r>
      <w:r>
        <w:rPr>
          <w:rFonts w:hint="eastAsia" w:ascii="黑体" w:hAnsi="黑体" w:eastAsia="黑体" w:cs="黑体"/>
          <w:b w:val="0"/>
          <w:bCs w:val="0"/>
          <w:spacing w:val="6"/>
          <w:sz w:val="32"/>
          <w:szCs w:val="32"/>
        </w:rPr>
        <w:t>实施</w:t>
      </w:r>
      <w:r>
        <w:rPr>
          <w:rFonts w:hint="eastAsia" w:ascii="黑体" w:hAnsi="黑体" w:eastAsia="黑体" w:cs="黑体"/>
          <w:b w:val="0"/>
          <w:bCs w:val="0"/>
          <w:spacing w:val="6"/>
          <w:sz w:val="32"/>
          <w:szCs w:val="32"/>
          <w:lang w:val="en-US" w:eastAsia="zh-CN"/>
        </w:rPr>
        <w:t>流程</w:t>
      </w:r>
    </w:p>
    <w:p w14:paraId="1ED91715">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农机购置与应用补贴政策实行“自主购机、定额补贴、先购后补，县级结算、直补到卡（户）”。购机行为完成后，购机者自主向当地农业农村部门提出补贴资金申领事项，签署告知承诺书，承诺购买行为、发票购机价格等信息真实有效，按相关规定申办补贴。</w:t>
      </w:r>
    </w:p>
    <w:p w14:paraId="77A805D3">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（一）发布实施规定。</w:t>
      </w:r>
      <w:r>
        <w:rPr>
          <w:rFonts w:hint="eastAsia" w:ascii="仿宋_GB2312" w:hAnsi="仿宋_GB2312" w:eastAsia="仿宋_GB2312" w:cs="仿宋_GB2312"/>
          <w:b w:val="0"/>
          <w:bCs w:val="0"/>
          <w:spacing w:val="4"/>
          <w:sz w:val="32"/>
          <w:szCs w:val="32"/>
        </w:rPr>
        <w:t>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农业农村、财政部门按职责分工和有关规定发布本地区农机购置与应用补贴实施方案、操作程序、补贴额一览表、补贴机具信息表、咨询投诉举报电话等信息。其中，要按年度明确剔除出补贴范围和实行降标的机具品目或档次，并留出过渡期。</w:t>
      </w:r>
    </w:p>
    <w:p w14:paraId="33601B55">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（二）自主购机。</w:t>
      </w:r>
      <w:r>
        <w:rPr>
          <w:rFonts w:hint="eastAsia" w:ascii="仿宋_GB2312" w:hAnsi="仿宋_GB2312" w:eastAsia="仿宋_GB2312" w:cs="仿宋_GB2312"/>
          <w:b w:val="0"/>
          <w:bCs w:val="0"/>
          <w:spacing w:val="4"/>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1110A394">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（三）受理补贴申请。</w:t>
      </w:r>
      <w:r>
        <w:rPr>
          <w:rFonts w:hint="eastAsia" w:ascii="仿宋_GB2312" w:hAnsi="仿宋_GB2312" w:eastAsia="仿宋_GB2312" w:cs="仿宋_GB2312"/>
          <w:b w:val="0"/>
          <w:bCs w:val="0"/>
          <w:spacing w:val="4"/>
          <w:sz w:val="32"/>
          <w:szCs w:val="32"/>
        </w:rPr>
        <w:t>农业农村部门在收到购机者完成签字确认的补贴申请后，应于2个工作日内做出是否受理的决定，对因资料不齐全等原因无法受理的，应注明原因，按原渠道退回申请，并告知购机者，做好咨询答疑。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可结合实际，根据农机购置与应用补贴资金申请数量设置购机者年度内享受补贴资金总额的上限及购置农机具的台（套）数上限等。县级农业农村部门全面实行办理服务系统常年连续开放，推广使用信息化技术，方便购机者随时在线录入补贴申请信息。引导购机者在录入信息后，及时向农业农村部门提交补贴申请资料。县级补贴资金申请数量达到或超过当年可用资金（含结转资金、调剂资金）时，购机者提交的补贴申请可继续录入进行预登记，但应及时告知购机者有关情况。</w:t>
      </w:r>
    </w:p>
    <w:p w14:paraId="73240B88">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（四）机具核验。</w:t>
      </w:r>
      <w:r>
        <w:rPr>
          <w:rFonts w:hint="eastAsia" w:ascii="仿宋_GB2312" w:hAnsi="仿宋_GB2312" w:eastAsia="仿宋_GB2312" w:cs="仿宋_GB2312"/>
          <w:b w:val="0"/>
          <w:bCs w:val="0"/>
          <w:spacing w:val="4"/>
          <w:sz w:val="32"/>
          <w:szCs w:val="32"/>
        </w:rPr>
        <w:t>鼓励基层农业农村部门探索多种核验方式，提高补贴机具核验水平。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其他机具，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可结合实际，确定抽查核验比例。对丘陵山区所用的量大面广的小型机具，可结合实际制定便利化可监测的核验方法；对成套设施装备，农业农村部门、财政部门可组织符合条件的第三方开展核验。</w:t>
      </w:r>
    </w:p>
    <w:p w14:paraId="1CB85BC2">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（五）审验公示信息。</w:t>
      </w:r>
      <w:r>
        <w:rPr>
          <w:rFonts w:hint="eastAsia" w:ascii="仿宋_GB2312" w:hAnsi="仿宋_GB2312" w:eastAsia="仿宋_GB2312" w:cs="仿宋_GB2312"/>
          <w:b w:val="0"/>
          <w:bCs w:val="0"/>
          <w:spacing w:val="4"/>
          <w:sz w:val="32"/>
          <w:szCs w:val="32"/>
        </w:rPr>
        <w:t>县级农业农村部门按照《农机购置补贴机具核验工作要点（试行）》等要求，对补贴相关申请资料进行审核，对补贴机具进行核验，其中实行牌证管理的机具，要先行办理牌证照，并凭牌证免于现场实物核验。农业农村部门对符合条件可以受理的，应于13个工作日内（不含公示时间）完成相关核验工作，并在农机购置与应用补贴信息公开专栏实时公布补贴申请信息，公示时间为5个工作日。鼓励在乡村或补贴申请点公示栏中同时公开公示信息。</w:t>
      </w:r>
    </w:p>
    <w:p w14:paraId="0CE31A8D">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（六）兑付补贴资金。</w:t>
      </w:r>
      <w:r>
        <w:rPr>
          <w:rFonts w:hint="eastAsia" w:ascii="仿宋_GB2312" w:hAnsi="仿宋_GB2312" w:eastAsia="仿宋_GB2312" w:cs="仿宋_GB2312"/>
          <w:b w:val="0"/>
          <w:bCs w:val="0"/>
          <w:spacing w:val="4"/>
          <w:sz w:val="32"/>
          <w:szCs w:val="32"/>
        </w:rPr>
        <w:t>县级农业农村部门在公示完成后5个工作日内，向县级财政部门提交资金兑付申请与有关材料，县级财政部门于15个工作日内通过国库集中支付方式向符合要求的购机者兑付资金。严禁挤占挪用农机购置与应用补贴资金。县级财政部门因资金不足或违法违规处理等原因需要延期兑付的，应会同农业农村部门做细政策解读，告知并稳定购机者预期，同时联合向上报告资金供需情况。各县（市、区）</w:t>
      </w:r>
      <w:r>
        <w:rPr>
          <w:rFonts w:hint="eastAsia" w:ascii="仿宋_GB2312" w:hAnsi="仿宋_GB2312" w:eastAsia="仿宋_GB2312" w:cs="仿宋_GB2312"/>
          <w:b w:val="0"/>
          <w:bCs w:val="0"/>
          <w:spacing w:val="4"/>
          <w:sz w:val="32"/>
          <w:szCs w:val="32"/>
          <w:lang w:val="en-US" w:eastAsia="zh-CN"/>
        </w:rPr>
        <w:t>、市直园区</w:t>
      </w:r>
      <w:r>
        <w:rPr>
          <w:rFonts w:hint="eastAsia" w:ascii="仿宋_GB2312" w:hAnsi="仿宋_GB2312" w:eastAsia="仿宋_GB2312" w:cs="仿宋_GB2312"/>
          <w:b w:val="0"/>
          <w:bCs w:val="0"/>
          <w:spacing w:val="4"/>
          <w:sz w:val="32"/>
          <w:szCs w:val="32"/>
        </w:rPr>
        <w:t>当年补贴资金兑付工作开展情况与下年资金安排挂钩。补贴申领原则上当年有效，因当年财政补贴资金规模不够、办理手续时间紧张等原因确实难以完成兑付的，可在办理服务系统中进行预登记申请，在下一个年度优先兑付。</w:t>
      </w:r>
    </w:p>
    <w:p w14:paraId="7EC48CD6">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楷体_GB2312" w:hAnsi="楷体_GB2312" w:eastAsia="楷体_GB2312" w:cs="楷体_GB2312"/>
          <w:b w:val="0"/>
          <w:bCs w:val="0"/>
          <w:spacing w:val="4"/>
          <w:sz w:val="32"/>
          <w:szCs w:val="32"/>
        </w:rPr>
        <w:t>（七）组织抽查。</w:t>
      </w:r>
      <w:r>
        <w:rPr>
          <w:rFonts w:hint="eastAsia" w:ascii="仿宋_GB2312" w:hAnsi="仿宋_GB2312" w:eastAsia="仿宋_GB2312" w:cs="仿宋_GB2312"/>
          <w:b w:val="0"/>
          <w:bCs w:val="0"/>
          <w:spacing w:val="4"/>
          <w:sz w:val="32"/>
          <w:szCs w:val="32"/>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违法犯罪的，要向司法机关移交严处。</w:t>
      </w:r>
    </w:p>
    <w:p w14:paraId="4E5B2202">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093F3900">
      <w:pPr>
        <w:keepNext w:val="0"/>
        <w:keepLines w:val="0"/>
        <w:pageBreakBefore w:val="0"/>
        <w:wordWrap/>
        <w:overflowPunct/>
        <w:topLinePunct w:val="0"/>
        <w:bidi w:val="0"/>
        <w:spacing w:line="576" w:lineRule="exact"/>
        <w:ind w:left="0" w:leftChars="0" w:right="0" w:firstLine="24"/>
        <w:jc w:val="both"/>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lang w:val="en-US" w:eastAsia="zh-CN"/>
        </w:rPr>
        <w:t>七、实施要求</w:t>
      </w:r>
    </w:p>
    <w:p w14:paraId="1E115FA0">
      <w:pPr>
        <w:keepNext w:val="0"/>
        <w:keepLines w:val="0"/>
        <w:pageBreakBefore w:val="0"/>
        <w:wordWrap/>
        <w:overflowPunct/>
        <w:topLinePunct w:val="0"/>
        <w:bidi w:val="0"/>
        <w:spacing w:line="576" w:lineRule="exact"/>
        <w:ind w:left="0" w:leftChars="0" w:right="0" w:firstLine="24"/>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4"/>
          <w:sz w:val="32"/>
          <w:szCs w:val="32"/>
        </w:rPr>
        <w:t>（一）加强领导，明确分工。</w:t>
      </w: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4"/>
          <w:sz w:val="32"/>
          <w:szCs w:val="32"/>
        </w:rPr>
        <w:t>农业农村、财政部门要建立健全政府领导下的联合实施和监管机制，切实加强组织协调，密切</w:t>
      </w:r>
      <w:r>
        <w:rPr>
          <w:rFonts w:hint="eastAsia" w:ascii="仿宋_GB2312" w:hAnsi="仿宋_GB2312" w:eastAsia="仿宋_GB2312" w:cs="仿宋_GB2312"/>
          <w:b w:val="0"/>
          <w:bCs w:val="0"/>
          <w:spacing w:val="-3"/>
          <w:sz w:val="32"/>
          <w:szCs w:val="32"/>
        </w:rPr>
        <w:t>沟通配合，健全完善风险防控制度和内部控制</w:t>
      </w:r>
      <w:r>
        <w:rPr>
          <w:rFonts w:hint="eastAsia" w:ascii="仿宋_GB2312" w:hAnsi="仿宋_GB2312" w:eastAsia="仿宋_GB2312" w:cs="仿宋_GB2312"/>
          <w:b w:val="0"/>
          <w:bCs w:val="0"/>
          <w:spacing w:val="-4"/>
          <w:sz w:val="32"/>
          <w:szCs w:val="32"/>
        </w:rPr>
        <w:t>规程，明确职责分工，</w:t>
      </w:r>
      <w:r>
        <w:rPr>
          <w:rFonts w:hint="eastAsia" w:ascii="仿宋_GB2312" w:hAnsi="仿宋_GB2312" w:eastAsia="仿宋_GB2312" w:cs="仿宋_GB2312"/>
          <w:b w:val="0"/>
          <w:bCs w:val="0"/>
          <w:spacing w:val="4"/>
          <w:sz w:val="32"/>
          <w:szCs w:val="32"/>
        </w:rPr>
        <w:t>形成工作合力。要组织开展业务培训和廉政警示教育，提高补贴工作人员业务素质和风险防控能力意识。要进一步明确职责分工，深入落实</w:t>
      </w:r>
      <w:r>
        <w:rPr>
          <w:rFonts w:hint="eastAsia" w:ascii="仿宋_GB2312" w:hAnsi="仿宋_GB2312" w:eastAsia="仿宋_GB2312" w:cs="仿宋_GB2312"/>
          <w:b w:val="0"/>
          <w:bCs w:val="0"/>
          <w:spacing w:val="4"/>
          <w:sz w:val="32"/>
          <w:szCs w:val="32"/>
          <w:lang w:eastAsia="zh-CN"/>
        </w:rPr>
        <w:t>县</w:t>
      </w:r>
      <w:r>
        <w:rPr>
          <w:rFonts w:hint="eastAsia" w:ascii="仿宋_GB2312" w:hAnsi="仿宋_GB2312" w:eastAsia="仿宋_GB2312" w:cs="仿宋_GB2312"/>
          <w:b w:val="0"/>
          <w:bCs w:val="0"/>
          <w:spacing w:val="4"/>
          <w:sz w:val="32"/>
          <w:szCs w:val="32"/>
        </w:rPr>
        <w:t>级及以下农业农村部门组织实施、审核监管责任和财政部</w:t>
      </w:r>
      <w:r>
        <w:rPr>
          <w:rFonts w:hint="eastAsia" w:ascii="仿宋_GB2312" w:hAnsi="仿宋_GB2312" w:eastAsia="仿宋_GB2312" w:cs="仿宋_GB2312"/>
          <w:b w:val="0"/>
          <w:bCs w:val="0"/>
          <w:spacing w:val="3"/>
          <w:sz w:val="32"/>
          <w:szCs w:val="32"/>
        </w:rPr>
        <w:t>门资金兑付、资金监管责任。要加强绩效管理，形成管理闭环，切</w:t>
      </w:r>
      <w:r>
        <w:rPr>
          <w:rFonts w:hint="eastAsia" w:ascii="仿宋_GB2312" w:hAnsi="仿宋_GB2312" w:eastAsia="仿宋_GB2312" w:cs="仿宋_GB2312"/>
          <w:b w:val="0"/>
          <w:bCs w:val="0"/>
          <w:spacing w:val="7"/>
          <w:sz w:val="32"/>
          <w:szCs w:val="32"/>
        </w:rPr>
        <w:t>实提升政策实施管理工作能力水平。</w:t>
      </w:r>
    </w:p>
    <w:p w14:paraId="3DB7D119">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4"/>
          <w:sz w:val="32"/>
          <w:szCs w:val="32"/>
        </w:rPr>
        <w:t>（</w:t>
      </w:r>
      <w:r>
        <w:rPr>
          <w:rFonts w:hint="eastAsia" w:ascii="楷体_GB2312" w:hAnsi="楷体_GB2312" w:eastAsia="楷体_GB2312" w:cs="楷体_GB2312"/>
          <w:b w:val="0"/>
          <w:bCs w:val="0"/>
          <w:spacing w:val="4"/>
          <w:sz w:val="32"/>
          <w:szCs w:val="32"/>
          <w:lang w:val="en-US" w:eastAsia="zh-CN"/>
        </w:rPr>
        <w:t>二</w:t>
      </w:r>
      <w:r>
        <w:rPr>
          <w:rFonts w:hint="eastAsia" w:ascii="楷体_GB2312" w:hAnsi="楷体_GB2312" w:eastAsia="楷体_GB2312" w:cs="楷体_GB2312"/>
          <w:b w:val="0"/>
          <w:bCs w:val="0"/>
          <w:spacing w:val="4"/>
          <w:sz w:val="32"/>
          <w:szCs w:val="32"/>
        </w:rPr>
        <w:t>）优化服务，提升效能。</w:t>
      </w: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4"/>
          <w:sz w:val="32"/>
          <w:szCs w:val="32"/>
        </w:rPr>
        <w:t>要依托四川省农机购置与应</w:t>
      </w:r>
      <w:r>
        <w:rPr>
          <w:rFonts w:hint="eastAsia" w:ascii="仿宋_GB2312" w:hAnsi="仿宋_GB2312" w:eastAsia="仿宋_GB2312" w:cs="仿宋_GB2312"/>
          <w:b w:val="0"/>
          <w:bCs w:val="0"/>
          <w:spacing w:val="8"/>
          <w:sz w:val="32"/>
          <w:szCs w:val="32"/>
        </w:rPr>
        <w:t>用补贴申请办理服务系统（以下简称办理服务系统</w:t>
      </w:r>
      <w:r>
        <w:rPr>
          <w:rFonts w:hint="eastAsia" w:ascii="仿宋_GB2312" w:hAnsi="仿宋_GB2312" w:eastAsia="仿宋_GB2312" w:cs="仿宋_GB2312"/>
          <w:b w:val="0"/>
          <w:bCs w:val="0"/>
          <w:spacing w:val="-47"/>
          <w:sz w:val="32"/>
          <w:szCs w:val="32"/>
        </w:rPr>
        <w:t>），</w:t>
      </w:r>
      <w:r>
        <w:rPr>
          <w:rFonts w:hint="eastAsia" w:ascii="仿宋_GB2312" w:hAnsi="仿宋_GB2312" w:eastAsia="仿宋_GB2312" w:cs="仿宋_GB2312"/>
          <w:b w:val="0"/>
          <w:bCs w:val="0"/>
          <w:spacing w:val="8"/>
          <w:sz w:val="32"/>
          <w:szCs w:val="32"/>
        </w:rPr>
        <w:t>动态分析基</w:t>
      </w:r>
      <w:r>
        <w:rPr>
          <w:rFonts w:hint="eastAsia" w:ascii="仿宋_GB2312" w:hAnsi="仿宋_GB2312" w:eastAsia="仿宋_GB2312" w:cs="仿宋_GB2312"/>
          <w:b w:val="0"/>
          <w:bCs w:val="0"/>
          <w:spacing w:val="4"/>
          <w:sz w:val="32"/>
          <w:szCs w:val="32"/>
        </w:rPr>
        <w:t>层农业农村和财政部门办理补贴申请具体时限，及时预警和定期通报超时办理行为，督促各地切实加快补贴申请受理、资格审核、机具核验、资金兑付等工作。要畅通产业链供应链，营造良好营商环</w:t>
      </w:r>
      <w:r>
        <w:rPr>
          <w:rFonts w:hint="eastAsia" w:ascii="仿宋_GB2312" w:hAnsi="仿宋_GB2312" w:eastAsia="仿宋_GB2312" w:cs="仿宋_GB2312"/>
          <w:b w:val="0"/>
          <w:bCs w:val="0"/>
          <w:spacing w:val="8"/>
          <w:sz w:val="32"/>
          <w:szCs w:val="32"/>
        </w:rPr>
        <w:t>境。要提高补贴机具核验信息化水平，加快农机试验鉴定（认证）</w:t>
      </w:r>
      <w:r>
        <w:rPr>
          <w:rFonts w:hint="eastAsia" w:ascii="仿宋_GB2312" w:hAnsi="仿宋_GB2312" w:eastAsia="仿宋_GB2312" w:cs="仿宋_GB2312"/>
          <w:b w:val="0"/>
          <w:bCs w:val="0"/>
          <w:spacing w:val="4"/>
          <w:sz w:val="32"/>
          <w:szCs w:val="32"/>
        </w:rPr>
        <w:t>及检验检测、机具投档、牌证管理、补贴资金申领等环节信息系统的互联互通。</w:t>
      </w:r>
    </w:p>
    <w:p w14:paraId="28D3CA63">
      <w:pPr>
        <w:keepNext w:val="0"/>
        <w:keepLines w:val="0"/>
        <w:pageBreakBefore w:val="0"/>
        <w:wordWrap/>
        <w:overflowPunct/>
        <w:topLinePunct w:val="0"/>
        <w:bidi w:val="0"/>
        <w:spacing w:line="576" w:lineRule="exact"/>
        <w:ind w:left="0" w:leftChars="0" w:right="0" w:firstLine="624"/>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4"/>
          <w:sz w:val="32"/>
          <w:szCs w:val="32"/>
        </w:rPr>
        <w:t>（</w:t>
      </w:r>
      <w:r>
        <w:rPr>
          <w:rFonts w:hint="eastAsia" w:ascii="楷体_GB2312" w:hAnsi="楷体_GB2312" w:eastAsia="楷体_GB2312" w:cs="楷体_GB2312"/>
          <w:b w:val="0"/>
          <w:bCs w:val="0"/>
          <w:spacing w:val="4"/>
          <w:sz w:val="32"/>
          <w:szCs w:val="32"/>
          <w:lang w:val="en-US" w:eastAsia="zh-CN"/>
        </w:rPr>
        <w:t>三</w:t>
      </w:r>
      <w:r>
        <w:rPr>
          <w:rFonts w:hint="eastAsia" w:ascii="楷体_GB2312" w:hAnsi="楷体_GB2312" w:eastAsia="楷体_GB2312" w:cs="楷体_GB2312"/>
          <w:b w:val="0"/>
          <w:bCs w:val="0"/>
          <w:spacing w:val="4"/>
          <w:sz w:val="32"/>
          <w:szCs w:val="32"/>
        </w:rPr>
        <w:t>）公开信息，接受监督。</w:t>
      </w: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4"/>
          <w:sz w:val="32"/>
          <w:szCs w:val="32"/>
        </w:rPr>
        <w:t>农业农村部门要加大补贴政策宣传力度，综合运用各类媒体和多种宣传方式，通过补贴政策信息上门、指导服务上门等，全方位开展宣传解读，着力提升政策知晓率和实施透明度。要及时主动回应购机者关注的重点事项，正确引导舆论，稳定购机者预期，切实保障广大农民群众和农机企业的</w:t>
      </w:r>
      <w:r>
        <w:rPr>
          <w:rFonts w:hint="eastAsia" w:ascii="仿宋_GB2312" w:hAnsi="仿宋_GB2312" w:eastAsia="仿宋_GB2312" w:cs="仿宋_GB2312"/>
          <w:b w:val="0"/>
          <w:bCs w:val="0"/>
          <w:spacing w:val="7"/>
          <w:sz w:val="32"/>
          <w:szCs w:val="32"/>
        </w:rPr>
        <w:t>知情权、监督权。要健全完善农机购置与应用补贴信息</w:t>
      </w:r>
      <w:r>
        <w:rPr>
          <w:rFonts w:hint="eastAsia" w:ascii="仿宋_GB2312" w:hAnsi="仿宋_GB2312" w:eastAsia="仿宋_GB2312" w:cs="仿宋_GB2312"/>
          <w:b w:val="0"/>
          <w:bCs w:val="0"/>
          <w:spacing w:val="6"/>
          <w:sz w:val="32"/>
          <w:szCs w:val="32"/>
        </w:rPr>
        <w:t>公开专栏，</w:t>
      </w:r>
      <w:r>
        <w:rPr>
          <w:rFonts w:hint="eastAsia" w:ascii="仿宋_GB2312" w:hAnsi="仿宋_GB2312" w:eastAsia="仿宋_GB2312" w:cs="仿宋_GB2312"/>
          <w:b w:val="0"/>
          <w:bCs w:val="0"/>
          <w:spacing w:val="15"/>
          <w:sz w:val="32"/>
          <w:szCs w:val="32"/>
        </w:rPr>
        <w:t>按年度公告近三年县域内补贴受益信息，公开违规查处结果等信</w:t>
      </w:r>
      <w:r>
        <w:rPr>
          <w:rFonts w:hint="eastAsia" w:ascii="仿宋_GB2312" w:hAnsi="仿宋_GB2312" w:eastAsia="仿宋_GB2312" w:cs="仿宋_GB2312"/>
          <w:b w:val="0"/>
          <w:bCs w:val="0"/>
          <w:spacing w:val="7"/>
          <w:sz w:val="32"/>
          <w:szCs w:val="32"/>
        </w:rPr>
        <w:t>息，主动接受社会监督。</w:t>
      </w:r>
    </w:p>
    <w:p w14:paraId="2BDA73C7">
      <w:pPr>
        <w:keepNext w:val="0"/>
        <w:keepLines w:val="0"/>
        <w:pageBreakBefore w:val="0"/>
        <w:wordWrap/>
        <w:overflowPunct/>
        <w:topLinePunct w:val="0"/>
        <w:bidi w:val="0"/>
        <w:spacing w:line="576" w:lineRule="exact"/>
        <w:ind w:left="0" w:leftChars="0" w:right="0" w:firstLine="2"/>
        <w:jc w:val="both"/>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pacing w:val="4"/>
          <w:sz w:val="32"/>
          <w:szCs w:val="32"/>
        </w:rPr>
        <w:t>（</w:t>
      </w:r>
      <w:r>
        <w:rPr>
          <w:rFonts w:hint="eastAsia" w:ascii="楷体_GB2312" w:hAnsi="楷体_GB2312" w:eastAsia="楷体_GB2312" w:cs="楷体_GB2312"/>
          <w:b w:val="0"/>
          <w:bCs w:val="0"/>
          <w:spacing w:val="4"/>
          <w:sz w:val="32"/>
          <w:szCs w:val="32"/>
          <w:lang w:val="en-US" w:eastAsia="zh-CN"/>
        </w:rPr>
        <w:t>四</w:t>
      </w:r>
      <w:r>
        <w:rPr>
          <w:rFonts w:hint="eastAsia" w:ascii="楷体_GB2312" w:hAnsi="楷体_GB2312" w:eastAsia="楷体_GB2312" w:cs="楷体_GB2312"/>
          <w:b w:val="0"/>
          <w:bCs w:val="0"/>
          <w:spacing w:val="4"/>
          <w:sz w:val="32"/>
          <w:szCs w:val="32"/>
        </w:rPr>
        <w:t>）加强监督，严惩违规。</w:t>
      </w: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4"/>
          <w:sz w:val="32"/>
          <w:szCs w:val="32"/>
        </w:rPr>
        <w:t>要认真执行《农业农村部办公厅、财政部办公厅关于进一步加强农机购置补贴政策监管强化纪</w:t>
      </w:r>
      <w:r>
        <w:rPr>
          <w:rFonts w:hint="eastAsia" w:ascii="仿宋_GB2312" w:hAnsi="仿宋_GB2312" w:eastAsia="仿宋_GB2312" w:cs="仿宋_GB2312"/>
          <w:b w:val="0"/>
          <w:bCs w:val="0"/>
          <w:spacing w:val="5"/>
          <w:sz w:val="32"/>
          <w:szCs w:val="32"/>
        </w:rPr>
        <w:t>律约束的通知》（农办机〔2019〕6号）和《农业部办公厅、财政</w:t>
      </w:r>
      <w:r>
        <w:rPr>
          <w:rFonts w:hint="eastAsia" w:ascii="仿宋_GB2312" w:hAnsi="仿宋_GB2312" w:eastAsia="仿宋_GB2312" w:cs="仿宋_GB2312"/>
          <w:b w:val="0"/>
          <w:bCs w:val="0"/>
          <w:spacing w:val="4"/>
          <w:sz w:val="32"/>
          <w:szCs w:val="32"/>
        </w:rPr>
        <w:t>部办公厅关于印发〈农业机械购置补贴产品违规经营行为处理办法</w:t>
      </w:r>
      <w:r>
        <w:rPr>
          <w:rFonts w:hint="eastAsia" w:ascii="仿宋_GB2312" w:hAnsi="仿宋_GB2312" w:eastAsia="仿宋_GB2312" w:cs="仿宋_GB2312"/>
          <w:b w:val="0"/>
          <w:bCs w:val="0"/>
          <w:spacing w:val="9"/>
          <w:sz w:val="32"/>
          <w:szCs w:val="32"/>
        </w:rPr>
        <w:t>（试行）〉的通知》（农办财〔2017〕26号）要求，严格落实属</w:t>
      </w:r>
      <w:r>
        <w:rPr>
          <w:rFonts w:hint="eastAsia" w:ascii="仿宋_GB2312" w:hAnsi="仿宋_GB2312" w:eastAsia="仿宋_GB2312" w:cs="仿宋_GB2312"/>
          <w:b w:val="0"/>
          <w:bCs w:val="0"/>
          <w:spacing w:val="4"/>
          <w:sz w:val="32"/>
          <w:szCs w:val="32"/>
        </w:rPr>
        <w:t>地管理责任，加强风险防控和异常情形主动报告，更加严格实施信用管理和农机产销企业承诺制。要充分发挥专业机构的技术优势和大数据的信息优势，有效开展违规行为全流程分析排查，强化农业农村和财政部门牵头，其他部门支持的联合查处和联动处理，对违</w:t>
      </w:r>
      <w:r>
        <w:rPr>
          <w:rFonts w:hint="eastAsia" w:ascii="仿宋_GB2312" w:hAnsi="仿宋_GB2312" w:eastAsia="仿宋_GB2312" w:cs="仿宋_GB2312"/>
          <w:b w:val="0"/>
          <w:bCs w:val="0"/>
          <w:spacing w:val="3"/>
          <w:sz w:val="32"/>
          <w:szCs w:val="32"/>
        </w:rPr>
        <w:t>法违规行为保持“零容忍</w:t>
      </w:r>
      <w:r>
        <w:rPr>
          <w:rFonts w:hint="eastAsia" w:ascii="仿宋_GB2312" w:hAnsi="仿宋_GB2312" w:eastAsia="仿宋_GB2312" w:cs="仿宋_GB2312"/>
          <w:b w:val="0"/>
          <w:bCs w:val="0"/>
          <w:spacing w:val="-113"/>
          <w:sz w:val="32"/>
          <w:szCs w:val="32"/>
        </w:rPr>
        <w:t xml:space="preserve"> </w:t>
      </w:r>
      <w:r>
        <w:rPr>
          <w:rFonts w:hint="eastAsia" w:ascii="仿宋_GB2312" w:hAnsi="仿宋_GB2312" w:eastAsia="仿宋_GB2312" w:cs="仿宋_GB2312"/>
          <w:b w:val="0"/>
          <w:bCs w:val="0"/>
          <w:spacing w:val="3"/>
          <w:sz w:val="32"/>
          <w:szCs w:val="32"/>
        </w:rPr>
        <w:t>”高压态势，从严整</w:t>
      </w:r>
      <w:r>
        <w:rPr>
          <w:rFonts w:hint="eastAsia" w:ascii="仿宋_GB2312" w:hAnsi="仿宋_GB2312" w:eastAsia="仿宋_GB2312" w:cs="仿宋_GB2312"/>
          <w:b w:val="0"/>
          <w:bCs w:val="0"/>
          <w:spacing w:val="2"/>
          <w:sz w:val="32"/>
          <w:szCs w:val="32"/>
        </w:rPr>
        <w:t>治违法违规行为，涉</w:t>
      </w:r>
      <w:r>
        <w:rPr>
          <w:rFonts w:hint="eastAsia" w:ascii="仿宋_GB2312" w:hAnsi="仿宋_GB2312" w:eastAsia="仿宋_GB2312" w:cs="仿宋_GB2312"/>
          <w:b w:val="0"/>
          <w:bCs w:val="0"/>
          <w:spacing w:val="7"/>
          <w:sz w:val="32"/>
          <w:szCs w:val="32"/>
        </w:rPr>
        <w:t>嫌犯罪的，移交司法机关予以查处，有力维护政策实施良好秩序。</w:t>
      </w:r>
    </w:p>
    <w:p w14:paraId="2157D787">
      <w:pPr>
        <w:keepNext w:val="0"/>
        <w:keepLines w:val="0"/>
        <w:pageBreakBefore w:val="0"/>
        <w:wordWrap/>
        <w:overflowPunct/>
        <w:topLinePunct w:val="0"/>
        <w:bidi w:val="0"/>
        <w:spacing w:line="576" w:lineRule="exact"/>
        <w:ind w:left="0" w:leftChars="0" w:right="0" w:firstLine="656"/>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各</w:t>
      </w:r>
      <w:r>
        <w:rPr>
          <w:rFonts w:hint="eastAsia" w:ascii="仿宋_GB2312" w:hAnsi="仿宋_GB2312" w:eastAsia="仿宋_GB2312" w:cs="仿宋_GB2312"/>
          <w:b w:val="0"/>
          <w:bCs w:val="0"/>
          <w:spacing w:val="4"/>
          <w:sz w:val="32"/>
          <w:szCs w:val="32"/>
          <w:lang w:val="en-US" w:eastAsia="zh-CN"/>
        </w:rPr>
        <w:t>县（市、区）、市直园区</w:t>
      </w:r>
      <w:r>
        <w:rPr>
          <w:rFonts w:hint="eastAsia" w:ascii="仿宋_GB2312" w:hAnsi="仿宋_GB2312" w:eastAsia="仿宋_GB2312" w:cs="仿宋_GB2312"/>
          <w:b w:val="0"/>
          <w:bCs w:val="0"/>
          <w:spacing w:val="15"/>
          <w:sz w:val="32"/>
          <w:szCs w:val="32"/>
        </w:rPr>
        <w:t>农业农村</w:t>
      </w:r>
      <w:r>
        <w:rPr>
          <w:rFonts w:hint="eastAsia" w:ascii="仿宋_GB2312" w:hAnsi="仿宋_GB2312" w:eastAsia="仿宋_GB2312" w:cs="仿宋_GB2312"/>
          <w:b w:val="0"/>
          <w:bCs w:val="0"/>
          <w:spacing w:val="15"/>
          <w:sz w:val="32"/>
          <w:szCs w:val="32"/>
          <w:lang w:val="en-US" w:eastAsia="zh-CN"/>
        </w:rPr>
        <w:t>部门</w:t>
      </w:r>
      <w:r>
        <w:rPr>
          <w:rFonts w:hint="eastAsia" w:ascii="仿宋_GB2312" w:hAnsi="仿宋_GB2312" w:eastAsia="仿宋_GB2312" w:cs="仿宋_GB2312"/>
          <w:b w:val="0"/>
          <w:bCs w:val="0"/>
          <w:spacing w:val="15"/>
          <w:sz w:val="32"/>
          <w:szCs w:val="32"/>
        </w:rPr>
        <w:t>、财政部门要根据本意见，结合实际制定印发</w:t>
      </w:r>
      <w:r>
        <w:rPr>
          <w:rFonts w:hint="eastAsia" w:ascii="仿宋_GB2312" w:hAnsi="仿宋_GB2312" w:eastAsia="仿宋_GB2312" w:cs="仿宋_GB2312"/>
          <w:b w:val="0"/>
          <w:bCs w:val="0"/>
          <w:spacing w:val="4"/>
          <w:sz w:val="32"/>
          <w:szCs w:val="32"/>
        </w:rPr>
        <w:t>2024—2026年农机购置与应用补贴实施方案，并抄报农业农村厅、</w:t>
      </w:r>
      <w:r>
        <w:rPr>
          <w:rFonts w:hint="eastAsia" w:ascii="仿宋_GB2312" w:hAnsi="仿宋_GB2312" w:eastAsia="仿宋_GB2312" w:cs="仿宋_GB2312"/>
          <w:b w:val="0"/>
          <w:bCs w:val="0"/>
          <w:spacing w:val="-2"/>
          <w:sz w:val="32"/>
          <w:szCs w:val="32"/>
        </w:rPr>
        <w:t>财政厅。同时，要按规定落实补贴政策，做好年度总结及报送</w:t>
      </w:r>
      <w:r>
        <w:rPr>
          <w:rFonts w:hint="eastAsia" w:ascii="仿宋_GB2312" w:hAnsi="仿宋_GB2312" w:eastAsia="仿宋_GB2312" w:cs="仿宋_GB2312"/>
          <w:b w:val="0"/>
          <w:bCs w:val="0"/>
          <w:spacing w:val="-3"/>
          <w:sz w:val="32"/>
          <w:szCs w:val="32"/>
        </w:rPr>
        <w:t>工作。</w:t>
      </w:r>
    </w:p>
    <w:p w14:paraId="09FFDB9E">
      <w:pPr>
        <w:pStyle w:val="2"/>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b w:val="0"/>
          <w:bCs w:val="0"/>
          <w:sz w:val="32"/>
          <w:szCs w:val="32"/>
        </w:rPr>
      </w:pPr>
    </w:p>
    <w:p w14:paraId="5CFD187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jc w:val="both"/>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9"/>
          <w:sz w:val="32"/>
          <w:szCs w:val="32"/>
        </w:rPr>
        <w:t>附件：</w:t>
      </w:r>
      <w:r>
        <w:rPr>
          <w:rFonts w:hint="eastAsia" w:ascii="仿宋_GB2312" w:hAnsi="仿宋_GB2312" w:eastAsia="仿宋_GB2312" w:cs="仿宋_GB2312"/>
          <w:b w:val="0"/>
          <w:bCs w:val="0"/>
          <w:spacing w:val="10"/>
          <w:sz w:val="32"/>
          <w:szCs w:val="32"/>
          <w:lang w:val="en-US" w:eastAsia="zh-CN"/>
        </w:rPr>
        <w:t>1.</w:t>
      </w:r>
      <w:r>
        <w:rPr>
          <w:rFonts w:hint="eastAsia" w:ascii="仿宋_GB2312" w:hAnsi="仿宋_GB2312" w:eastAsia="仿宋_GB2312" w:cs="仿宋_GB2312"/>
          <w:b w:val="0"/>
          <w:bCs w:val="0"/>
          <w:spacing w:val="9"/>
          <w:sz w:val="32"/>
          <w:szCs w:val="32"/>
          <w:lang w:eastAsia="zh-CN"/>
        </w:rPr>
        <w:t>遂宁市</w:t>
      </w:r>
      <w:r>
        <w:rPr>
          <w:rFonts w:hint="eastAsia" w:ascii="仿宋_GB2312" w:hAnsi="仿宋_GB2312" w:eastAsia="仿宋_GB2312" w:cs="仿宋_GB2312"/>
          <w:b w:val="0"/>
          <w:bCs w:val="0"/>
          <w:spacing w:val="9"/>
          <w:sz w:val="32"/>
          <w:szCs w:val="32"/>
        </w:rPr>
        <w:t>2024—2026年</w:t>
      </w:r>
      <w:r>
        <w:rPr>
          <w:rFonts w:hint="eastAsia" w:ascii="仿宋_GB2312" w:hAnsi="仿宋_GB2312" w:eastAsia="仿宋_GB2312" w:cs="仿宋_GB2312"/>
          <w:b w:val="0"/>
          <w:bCs w:val="0"/>
          <w:spacing w:val="10"/>
          <w:sz w:val="32"/>
          <w:szCs w:val="32"/>
        </w:rPr>
        <w:t>农机购置</w:t>
      </w:r>
      <w:r>
        <w:rPr>
          <w:rFonts w:hint="eastAsia" w:ascii="仿宋_GB2312" w:hAnsi="仿宋_GB2312" w:eastAsia="仿宋_GB2312" w:cs="仿宋_GB2312"/>
          <w:b w:val="0"/>
          <w:bCs w:val="0"/>
          <w:spacing w:val="9"/>
          <w:sz w:val="32"/>
          <w:szCs w:val="32"/>
        </w:rPr>
        <w:t>与应用补贴机具</w:t>
      </w:r>
      <w:r>
        <w:rPr>
          <w:rFonts w:hint="eastAsia" w:ascii="仿宋_GB2312" w:hAnsi="仿宋_GB2312" w:eastAsia="仿宋_GB2312" w:cs="仿宋_GB2312"/>
          <w:b w:val="0"/>
          <w:bCs w:val="0"/>
          <w:spacing w:val="12"/>
          <w:sz w:val="32"/>
          <w:szCs w:val="32"/>
        </w:rPr>
        <w:t>种</w:t>
      </w:r>
    </w:p>
    <w:p w14:paraId="29EF0BF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2064" w:firstLineChars="6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2"/>
          <w:sz w:val="32"/>
          <w:szCs w:val="32"/>
        </w:rPr>
        <w:t>类范围</w:t>
      </w:r>
    </w:p>
    <w:p w14:paraId="07CE724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1650" w:firstLineChars="500"/>
        <w:jc w:val="both"/>
        <w:textAlignment w:val="baseline"/>
        <w:rPr>
          <w:rFonts w:hint="eastAsia" w:ascii="仿宋_GB2312" w:hAnsi="仿宋_GB2312" w:eastAsia="仿宋_GB2312" w:cs="仿宋_GB2312"/>
          <w:b w:val="0"/>
          <w:bCs w:val="0"/>
          <w:spacing w:val="5"/>
          <w:sz w:val="32"/>
          <w:szCs w:val="32"/>
        </w:rPr>
      </w:pPr>
      <w:r>
        <w:rPr>
          <w:rFonts w:hint="eastAsia" w:ascii="仿宋_GB2312" w:hAnsi="仿宋_GB2312" w:eastAsia="仿宋_GB2312" w:cs="仿宋_GB2312"/>
          <w:b w:val="0"/>
          <w:bCs w:val="0"/>
          <w:spacing w:val="5"/>
          <w:sz w:val="32"/>
          <w:szCs w:val="32"/>
          <w:lang w:val="en-US" w:eastAsia="zh-CN"/>
        </w:rPr>
        <w:t>2.</w:t>
      </w:r>
      <w:r>
        <w:rPr>
          <w:rFonts w:hint="eastAsia" w:ascii="仿宋_GB2312" w:hAnsi="仿宋_GB2312" w:eastAsia="仿宋_GB2312" w:cs="仿宋_GB2312"/>
          <w:b w:val="0"/>
          <w:bCs w:val="0"/>
          <w:spacing w:val="-132"/>
          <w:sz w:val="32"/>
          <w:szCs w:val="32"/>
        </w:rPr>
        <w:t xml:space="preserve"> </w:t>
      </w:r>
      <w:r>
        <w:rPr>
          <w:rFonts w:hint="eastAsia" w:ascii="仿宋_GB2312" w:hAnsi="仿宋_GB2312" w:eastAsia="仿宋_GB2312" w:cs="仿宋_GB2312"/>
          <w:b w:val="0"/>
          <w:bCs w:val="0"/>
          <w:spacing w:val="9"/>
          <w:sz w:val="32"/>
          <w:szCs w:val="32"/>
          <w:u w:val="single" w:color="auto"/>
        </w:rPr>
        <w:t xml:space="preserve">    </w:t>
      </w:r>
      <w:r>
        <w:rPr>
          <w:rFonts w:hint="eastAsia" w:ascii="仿宋_GB2312" w:hAnsi="仿宋_GB2312" w:eastAsia="仿宋_GB2312" w:cs="仿宋_GB2312"/>
          <w:b w:val="0"/>
          <w:bCs w:val="0"/>
          <w:spacing w:val="-125"/>
          <w:sz w:val="32"/>
          <w:szCs w:val="32"/>
        </w:rPr>
        <w:t xml:space="preserve"> </w:t>
      </w:r>
      <w:r>
        <w:rPr>
          <w:rFonts w:hint="eastAsia" w:ascii="仿宋_GB2312" w:hAnsi="仿宋_GB2312" w:eastAsia="仿宋_GB2312" w:cs="仿宋_GB2312"/>
          <w:b w:val="0"/>
          <w:bCs w:val="0"/>
          <w:spacing w:val="5"/>
          <w:sz w:val="32"/>
          <w:szCs w:val="32"/>
        </w:rPr>
        <w:t>年度</w:t>
      </w:r>
      <w:r>
        <w:rPr>
          <w:rFonts w:hint="eastAsia" w:ascii="仿宋_GB2312" w:hAnsi="仿宋_GB2312" w:eastAsia="仿宋_GB2312" w:cs="仿宋_GB2312"/>
          <w:b w:val="0"/>
          <w:bCs w:val="0"/>
          <w:spacing w:val="-137"/>
          <w:sz w:val="32"/>
          <w:szCs w:val="32"/>
        </w:rPr>
        <w:t xml:space="preserve"> </w:t>
      </w:r>
      <w:r>
        <w:rPr>
          <w:rFonts w:hint="eastAsia" w:ascii="仿宋_GB2312" w:hAnsi="仿宋_GB2312" w:eastAsia="仿宋_GB2312" w:cs="仿宋_GB2312"/>
          <w:b w:val="0"/>
          <w:bCs w:val="0"/>
          <w:spacing w:val="9"/>
          <w:sz w:val="32"/>
          <w:szCs w:val="32"/>
          <w:u w:val="single" w:color="auto"/>
        </w:rPr>
        <w:t xml:space="preserve">    </w:t>
      </w:r>
      <w:r>
        <w:rPr>
          <w:rFonts w:hint="eastAsia" w:ascii="仿宋_GB2312" w:hAnsi="仿宋_GB2312" w:eastAsia="仿宋_GB2312" w:cs="仿宋_GB2312"/>
          <w:b w:val="0"/>
          <w:bCs w:val="0"/>
          <w:spacing w:val="-129"/>
          <w:sz w:val="32"/>
          <w:szCs w:val="32"/>
        </w:rPr>
        <w:t xml:space="preserve"> </w:t>
      </w:r>
      <w:r>
        <w:rPr>
          <w:rFonts w:hint="eastAsia" w:ascii="仿宋_GB2312" w:hAnsi="仿宋_GB2312" w:eastAsia="仿宋_GB2312" w:cs="仿宋_GB2312"/>
          <w:b w:val="0"/>
          <w:bCs w:val="0"/>
          <w:spacing w:val="5"/>
          <w:sz w:val="32"/>
          <w:szCs w:val="32"/>
        </w:rPr>
        <w:t>县（市、区）享受农机购置与应用</w:t>
      </w:r>
    </w:p>
    <w:p w14:paraId="23AEA1D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2124" w:firstLineChars="6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7"/>
          <w:sz w:val="32"/>
          <w:szCs w:val="32"/>
        </w:rPr>
        <w:t>补贴的购机者信息表</w:t>
      </w:r>
    </w:p>
    <w:p w14:paraId="4CA3AC0C">
      <w:pPr>
        <w:keepNext w:val="0"/>
        <w:keepLines w:val="0"/>
        <w:pageBreakBefore w:val="0"/>
        <w:wordWrap/>
        <w:overflowPunct/>
        <w:topLinePunct w:val="0"/>
        <w:bidi w:val="0"/>
        <w:spacing w:line="576" w:lineRule="exact"/>
        <w:ind w:left="0" w:leftChars="0" w:right="0"/>
        <w:jc w:val="both"/>
        <w:rPr>
          <w:rFonts w:hint="eastAsia" w:ascii="仿宋_GB2312" w:hAnsi="仿宋_GB2312" w:eastAsia="仿宋_GB2312" w:cs="仿宋_GB2312"/>
          <w:b w:val="0"/>
          <w:bCs w:val="0"/>
          <w:sz w:val="32"/>
          <w:szCs w:val="32"/>
        </w:rPr>
        <w:sectPr>
          <w:footerReference r:id="rId5" w:type="default"/>
          <w:pgSz w:w="12309" w:h="17110"/>
          <w:pgMar w:top="2098" w:right="1474" w:bottom="1984" w:left="1587" w:header="0" w:footer="1262" w:gutter="0"/>
          <w:pgNumType w:fmt="decimal"/>
          <w:cols w:space="720" w:num="1"/>
        </w:sectPr>
      </w:pPr>
    </w:p>
    <w:p w14:paraId="508D9F02">
      <w:pPr>
        <w:keepNext w:val="0"/>
        <w:keepLines w:val="0"/>
        <w:pageBreakBefore w:val="0"/>
        <w:wordWrap/>
        <w:overflowPunct/>
        <w:topLinePunct w:val="0"/>
        <w:bidi w:val="0"/>
        <w:spacing w:line="576" w:lineRule="exact"/>
        <w:ind w:left="0" w:leftChars="0" w:right="0" w:firstLine="0" w:firstLineChars="0"/>
        <w:jc w:val="both"/>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1</w:t>
      </w:r>
    </w:p>
    <w:p w14:paraId="0A2C753E">
      <w:pPr>
        <w:pStyle w:val="2"/>
        <w:keepNext w:val="0"/>
        <w:keepLines w:val="0"/>
        <w:pageBreakBefore w:val="0"/>
        <w:wordWrap/>
        <w:overflowPunct/>
        <w:topLinePunct w:val="0"/>
        <w:bidi w:val="0"/>
        <w:spacing w:line="576" w:lineRule="exact"/>
        <w:ind w:left="0" w:leftChars="0" w:right="0"/>
        <w:jc w:val="both"/>
      </w:pPr>
    </w:p>
    <w:p w14:paraId="76C97B2A">
      <w:pPr>
        <w:pStyle w:val="2"/>
        <w:keepNext w:val="0"/>
        <w:keepLines w:val="0"/>
        <w:pageBreakBefore w:val="0"/>
        <w:wordWrap/>
        <w:overflowPunct/>
        <w:topLinePunct w:val="0"/>
        <w:bidi w:val="0"/>
        <w:spacing w:line="576" w:lineRule="exact"/>
        <w:ind w:left="0" w:leftChars="0" w:right="0"/>
        <w:jc w:val="both"/>
      </w:pPr>
    </w:p>
    <w:p w14:paraId="6A923205">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firstLine="0" w:firstLineChars="0"/>
        <w:jc w:val="center"/>
        <w:textAlignment w:val="auto"/>
        <w:rPr>
          <w:rFonts w:hint="default" w:ascii="Times New Roman" w:hAnsi="Times New Roman" w:eastAsia="方正小标宋简体" w:cs="Times New Roman"/>
          <w:b/>
          <w:bCs/>
          <w:snapToGrid/>
          <w:color w:val="auto"/>
          <w:kern w:val="2"/>
          <w:sz w:val="44"/>
          <w:szCs w:val="44"/>
          <w:lang w:eastAsia="zh-CN"/>
        </w:rPr>
      </w:pPr>
      <w:r>
        <w:rPr>
          <w:rFonts w:hint="eastAsia" w:ascii="Times New Roman" w:hAnsi="Times New Roman" w:eastAsia="方正小标宋简体" w:cs="Times New Roman"/>
          <w:b/>
          <w:bCs/>
          <w:snapToGrid/>
          <w:color w:val="auto"/>
          <w:kern w:val="2"/>
          <w:sz w:val="44"/>
          <w:szCs w:val="44"/>
          <w:lang w:eastAsia="zh-CN"/>
        </w:rPr>
        <w:t>遂宁市</w:t>
      </w:r>
      <w:r>
        <w:rPr>
          <w:rFonts w:hint="default" w:ascii="Times New Roman" w:hAnsi="Times New Roman" w:eastAsia="方正小标宋简体" w:cs="Times New Roman"/>
          <w:b/>
          <w:bCs/>
          <w:snapToGrid/>
          <w:color w:val="auto"/>
          <w:kern w:val="2"/>
          <w:sz w:val="44"/>
          <w:szCs w:val="44"/>
          <w:lang w:eastAsia="zh-CN"/>
        </w:rPr>
        <w:t>2024—2026年农机购置与应用补贴</w:t>
      </w:r>
    </w:p>
    <w:p w14:paraId="46DDEE2D">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firstLine="0" w:firstLineChars="0"/>
        <w:jc w:val="center"/>
        <w:textAlignment w:val="auto"/>
        <w:rPr>
          <w:rFonts w:hint="default" w:ascii="Times New Roman" w:hAnsi="Times New Roman" w:eastAsia="方正小标宋简体" w:cs="Times New Roman"/>
          <w:b/>
          <w:bCs/>
          <w:snapToGrid/>
          <w:color w:val="auto"/>
          <w:kern w:val="2"/>
          <w:sz w:val="44"/>
          <w:szCs w:val="44"/>
          <w:lang w:eastAsia="zh-CN"/>
        </w:rPr>
      </w:pPr>
      <w:r>
        <w:rPr>
          <w:rFonts w:hint="default" w:ascii="Times New Roman" w:hAnsi="Times New Roman" w:eastAsia="方正小标宋简体" w:cs="Times New Roman"/>
          <w:b/>
          <w:bCs/>
          <w:snapToGrid/>
          <w:color w:val="auto"/>
          <w:kern w:val="2"/>
          <w:sz w:val="44"/>
          <w:szCs w:val="44"/>
          <w:lang w:eastAsia="zh-CN"/>
        </w:rPr>
        <w:t>机具种类范围</w:t>
      </w:r>
    </w:p>
    <w:p w14:paraId="50F058E6">
      <w:pPr>
        <w:keepNext w:val="0"/>
        <w:keepLines w:val="0"/>
        <w:pageBreakBefore w:val="0"/>
        <w:wordWrap/>
        <w:overflowPunct/>
        <w:topLinePunct w:val="0"/>
        <w:bidi w:val="0"/>
        <w:spacing w:line="576" w:lineRule="exact"/>
        <w:ind w:left="0" w:leftChars="0" w:right="0" w:firstLine="0" w:firstLineChars="0"/>
        <w:jc w:val="center"/>
        <w:rPr>
          <w:rFonts w:ascii="楷体" w:hAnsi="楷体" w:eastAsia="楷体" w:cs="楷体"/>
          <w:sz w:val="31"/>
          <w:szCs w:val="31"/>
        </w:rPr>
      </w:pPr>
      <w:r>
        <w:rPr>
          <w:rFonts w:ascii="楷体" w:hAnsi="楷体" w:eastAsia="楷体" w:cs="楷体"/>
          <w:spacing w:val="5"/>
          <w:sz w:val="31"/>
          <w:szCs w:val="31"/>
        </w:rPr>
        <w:t>（</w:t>
      </w:r>
      <w:r>
        <w:rPr>
          <w:rFonts w:ascii="Times New Roman" w:hAnsi="Times New Roman" w:eastAsia="Times New Roman" w:cs="Times New Roman"/>
          <w:spacing w:val="5"/>
          <w:sz w:val="31"/>
          <w:szCs w:val="31"/>
        </w:rPr>
        <w:t>22</w:t>
      </w:r>
      <w:r>
        <w:rPr>
          <w:rFonts w:ascii="楷体" w:hAnsi="楷体" w:eastAsia="楷体" w:cs="楷体"/>
          <w:spacing w:val="5"/>
          <w:sz w:val="31"/>
          <w:szCs w:val="31"/>
        </w:rPr>
        <w:t>大类</w:t>
      </w:r>
      <w:r>
        <w:rPr>
          <w:rFonts w:ascii="Times New Roman" w:hAnsi="Times New Roman" w:eastAsia="Times New Roman" w:cs="Times New Roman"/>
          <w:spacing w:val="5"/>
          <w:sz w:val="31"/>
          <w:szCs w:val="31"/>
        </w:rPr>
        <w:t>41</w:t>
      </w:r>
      <w:r>
        <w:rPr>
          <w:rFonts w:ascii="楷体" w:hAnsi="楷体" w:eastAsia="楷体" w:cs="楷体"/>
          <w:spacing w:val="5"/>
          <w:sz w:val="31"/>
          <w:szCs w:val="31"/>
        </w:rPr>
        <w:t>个小类</w:t>
      </w:r>
      <w:r>
        <w:rPr>
          <w:rFonts w:ascii="Times New Roman" w:hAnsi="Times New Roman" w:eastAsia="Times New Roman" w:cs="Times New Roman"/>
          <w:spacing w:val="5"/>
          <w:sz w:val="31"/>
          <w:szCs w:val="31"/>
        </w:rPr>
        <w:t>101</w:t>
      </w:r>
      <w:r>
        <w:rPr>
          <w:rFonts w:ascii="楷体" w:hAnsi="楷体" w:eastAsia="楷体" w:cs="楷体"/>
          <w:spacing w:val="5"/>
          <w:sz w:val="31"/>
          <w:szCs w:val="31"/>
        </w:rPr>
        <w:t>个品目）</w:t>
      </w:r>
    </w:p>
    <w:p w14:paraId="2D9859F5">
      <w:pPr>
        <w:pStyle w:val="2"/>
        <w:keepNext w:val="0"/>
        <w:keepLines w:val="0"/>
        <w:pageBreakBefore w:val="0"/>
        <w:wordWrap/>
        <w:overflowPunct/>
        <w:topLinePunct w:val="0"/>
        <w:bidi w:val="0"/>
        <w:spacing w:line="576" w:lineRule="exact"/>
        <w:ind w:left="0" w:leftChars="0" w:right="0"/>
        <w:jc w:val="both"/>
      </w:pPr>
    </w:p>
    <w:p w14:paraId="50E63927">
      <w:pPr>
        <w:pStyle w:val="2"/>
        <w:keepNext w:val="0"/>
        <w:keepLines w:val="0"/>
        <w:pageBreakBefore w:val="0"/>
        <w:wordWrap/>
        <w:overflowPunct/>
        <w:topLinePunct w:val="0"/>
        <w:bidi w:val="0"/>
        <w:spacing w:line="576" w:lineRule="exact"/>
        <w:ind w:left="0" w:leftChars="0" w:right="0"/>
        <w:jc w:val="both"/>
      </w:pPr>
    </w:p>
    <w:p w14:paraId="2A708E4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1.耕整地机械</w:t>
      </w:r>
    </w:p>
    <w:p w14:paraId="6785842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 耕地机械</w:t>
      </w:r>
    </w:p>
    <w:p w14:paraId="7C3C60D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1.1.1 犁</w:t>
      </w:r>
    </w:p>
    <w:p w14:paraId="2C00B89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1.1.2 旋耕机</w:t>
      </w:r>
    </w:p>
    <w:p w14:paraId="525C439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1.1.3 微型耕耘机</w:t>
      </w:r>
    </w:p>
    <w:p w14:paraId="46A07FD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1.1.4 耕整机</w:t>
      </w:r>
    </w:p>
    <w:p w14:paraId="666D657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1.1.5 深松机</w:t>
      </w:r>
    </w:p>
    <w:p w14:paraId="31BB0AB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1.1.6 开沟机</w:t>
      </w:r>
    </w:p>
    <w:p w14:paraId="4B84E7A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 整地机械</w:t>
      </w:r>
    </w:p>
    <w:p w14:paraId="255F5A2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 耙（ 限圆盘耙、驱动耙）</w:t>
      </w:r>
    </w:p>
    <w:p w14:paraId="0BF55E8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1.2.2 埋茬起浆机</w:t>
      </w:r>
    </w:p>
    <w:p w14:paraId="3C349D6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1.2.3 起垄机</w:t>
      </w:r>
    </w:p>
    <w:p w14:paraId="5E1F9B4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1.2.4 筑埂机</w:t>
      </w:r>
    </w:p>
    <w:p w14:paraId="5AD9743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1.2.5 铺膜机</w:t>
      </w:r>
    </w:p>
    <w:p w14:paraId="0C4C1B2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 耕整地联合作业机械（可含施肥功能）</w:t>
      </w:r>
    </w:p>
    <w:p w14:paraId="052AE50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1.3.1 深松整地联合作业机 </w:t>
      </w:r>
    </w:p>
    <w:p w14:paraId="1F94093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2.种植施肥机械</w:t>
      </w:r>
    </w:p>
    <w:p w14:paraId="7ACED47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 种子播前处理和育苗机械设备</w:t>
      </w:r>
    </w:p>
    <w:p w14:paraId="189D829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2.1.1 育秧（苗）播种设备</w:t>
      </w:r>
    </w:p>
    <w:p w14:paraId="7DEE6E0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 播种机械（可含施肥功能）</w:t>
      </w:r>
    </w:p>
    <w:p w14:paraId="17422FB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2.2.1 条播机</w:t>
      </w:r>
    </w:p>
    <w:p w14:paraId="3DF2A4E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2.2.2 穴播机</w:t>
      </w:r>
    </w:p>
    <w:p w14:paraId="7215BDF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2.2.3 单粒（精密 ）播种机</w:t>
      </w:r>
    </w:p>
    <w:p w14:paraId="154F013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2.2.4 根（块） 茎种子播种机</w:t>
      </w:r>
    </w:p>
    <w:p w14:paraId="7770687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2.3 耕整地播种作业机械（可含施肥功能）</w:t>
      </w:r>
    </w:p>
    <w:p w14:paraId="6BE37F7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2.3.1 旋耕播种机</w:t>
      </w:r>
    </w:p>
    <w:p w14:paraId="59C8CBF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2.4 栽植机械</w:t>
      </w:r>
    </w:p>
    <w:p w14:paraId="68BEBAD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2.4.1 插秧机</w:t>
      </w:r>
    </w:p>
    <w:p w14:paraId="3E5F985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2.4.2 抛秧机</w:t>
      </w:r>
    </w:p>
    <w:p w14:paraId="183D83E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2.4.3 移栽机</w:t>
      </w:r>
    </w:p>
    <w:p w14:paraId="4818B39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2.5 施肥机械</w:t>
      </w:r>
    </w:p>
    <w:p w14:paraId="55A7D6C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2.5.1 撒（抛）肥机</w:t>
      </w:r>
    </w:p>
    <w:p w14:paraId="6A47903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2.5.2 侧深施肥装置 </w:t>
      </w:r>
    </w:p>
    <w:p w14:paraId="050243A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3.田间管理机械</w:t>
      </w:r>
    </w:p>
    <w:p w14:paraId="6998B7F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3.1 中耕机械</w:t>
      </w:r>
    </w:p>
    <w:p w14:paraId="39A337F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3.1.1 中耕机</w:t>
      </w:r>
    </w:p>
    <w:p w14:paraId="0810CC5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3.1.2 田园管理机</w:t>
      </w:r>
    </w:p>
    <w:p w14:paraId="18F4D1D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3.2 植保机械</w:t>
      </w:r>
    </w:p>
    <w:p w14:paraId="5CAB756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3.2.1 喷雾机</w:t>
      </w:r>
    </w:p>
    <w:p w14:paraId="6F4C150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3.2.2 农用（植保）无人驾驶航空器（可含撒播等功能）</w:t>
      </w:r>
    </w:p>
    <w:p w14:paraId="62D67EE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3.3 修剪防护管理机械</w:t>
      </w:r>
    </w:p>
    <w:p w14:paraId="7A38F4E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3.3.1 修剪机</w:t>
      </w:r>
    </w:p>
    <w:p w14:paraId="0171352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3.3.2 枝条切碎机 </w:t>
      </w:r>
    </w:p>
    <w:p w14:paraId="3617763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4.灌溉机械</w:t>
      </w:r>
    </w:p>
    <w:p w14:paraId="4C5C336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4.1 微灌设备</w:t>
      </w:r>
    </w:p>
    <w:p w14:paraId="4488385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4.1.1 微喷灌设备</w:t>
      </w:r>
    </w:p>
    <w:p w14:paraId="25E190D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4.1.2 灌溉首部 </w:t>
      </w:r>
    </w:p>
    <w:p w14:paraId="52DE639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5.收获机械</w:t>
      </w:r>
    </w:p>
    <w:p w14:paraId="42F42C7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 粮食作物收获机械</w:t>
      </w:r>
    </w:p>
    <w:p w14:paraId="0247092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5.1.1 割晒机</w:t>
      </w:r>
    </w:p>
    <w:p w14:paraId="3C3090F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5.1.2 脱粒机</w:t>
      </w:r>
    </w:p>
    <w:p w14:paraId="43CB6BF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5.1.3 谷物联合收割机</w:t>
      </w:r>
    </w:p>
    <w:p w14:paraId="0FB0C63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5.1.4 玉米收获机</w:t>
      </w:r>
    </w:p>
    <w:p w14:paraId="544D381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5.1.5 薯类收获机</w:t>
      </w:r>
    </w:p>
    <w:p w14:paraId="0E1C962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5.2 油料作物收获机械</w:t>
      </w:r>
    </w:p>
    <w:p w14:paraId="6FE7E3A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5.2.1 花生收获机</w:t>
      </w:r>
    </w:p>
    <w:p w14:paraId="6E979B3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5.2.2 油菜籽收获机</w:t>
      </w:r>
    </w:p>
    <w:p w14:paraId="469767F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5.2.3 大豆收获机</w:t>
      </w:r>
    </w:p>
    <w:p w14:paraId="631D445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5.3 果菜茶烟草药收获机械</w:t>
      </w:r>
    </w:p>
    <w:p w14:paraId="05DFE96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5.3.1 叶类采收机</w:t>
      </w:r>
    </w:p>
    <w:p w14:paraId="3720758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5.3.2 果类收获机</w:t>
      </w:r>
    </w:p>
    <w:p w14:paraId="6F38FE3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5.3.3 根（ 茎）类收获机</w:t>
      </w:r>
    </w:p>
    <w:p w14:paraId="063E369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5.4 秸秆收集处理机械</w:t>
      </w:r>
    </w:p>
    <w:p w14:paraId="67D5D75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5.4.1 秸秆粉碎还田机</w:t>
      </w:r>
    </w:p>
    <w:p w14:paraId="23F2FBD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5.5 收获割台</w:t>
      </w:r>
    </w:p>
    <w:p w14:paraId="198A5C9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5.5.1 玉米收获专用割台 </w:t>
      </w:r>
    </w:p>
    <w:p w14:paraId="0FD9B4D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6.设施种植机械</w:t>
      </w:r>
    </w:p>
    <w:p w14:paraId="1C97C7B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6.1 食用菌生产设备</w:t>
      </w:r>
    </w:p>
    <w:p w14:paraId="6BF0927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6.1.1 菌料灭菌设备</w:t>
      </w:r>
    </w:p>
    <w:p w14:paraId="1A2F5CD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7.田间监测及作业监控设备</w:t>
      </w:r>
    </w:p>
    <w:p w14:paraId="2BA71B2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7.1 田间作业监控设备</w:t>
      </w:r>
    </w:p>
    <w:p w14:paraId="1463214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7.1.1 辅助驾驶（ 系统）设备（含渔船用 ） </w:t>
      </w:r>
    </w:p>
    <w:p w14:paraId="4173A30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8.种植业废弃物处理设备</w:t>
      </w:r>
    </w:p>
    <w:p w14:paraId="4F5F8D9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8.1 农作物废弃物处理设备</w:t>
      </w:r>
    </w:p>
    <w:p w14:paraId="4A2AA28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8.1. 1 秸秆压块（粒、棒）机</w:t>
      </w:r>
    </w:p>
    <w:p w14:paraId="05EBE1B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9.饲料（ 草 ）收获加工运输设备</w:t>
      </w:r>
    </w:p>
    <w:p w14:paraId="17DAE16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 饲料（草）收获机械</w:t>
      </w:r>
    </w:p>
    <w:p w14:paraId="49B4DDF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9.1.1 割草（压扁 ）机</w:t>
      </w:r>
    </w:p>
    <w:p w14:paraId="22BE825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9.1.2 搂草机</w:t>
      </w:r>
    </w:p>
    <w:p w14:paraId="6A0E79F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9.1.3 打（压 ）捆机</w:t>
      </w:r>
    </w:p>
    <w:p w14:paraId="0E8832A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9.1.4 草捆包膜机</w:t>
      </w:r>
    </w:p>
    <w:p w14:paraId="5D1E73E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9.1.5 青（黄）饲料收获机</w:t>
      </w:r>
    </w:p>
    <w:p w14:paraId="653EBAF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9.1.6 打捆包膜机</w:t>
      </w:r>
    </w:p>
    <w:p w14:paraId="6CEA739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 饲料（草）加工机械</w:t>
      </w:r>
    </w:p>
    <w:p w14:paraId="6FD2135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9.2.1 铡草机</w:t>
      </w:r>
    </w:p>
    <w:p w14:paraId="7ABE774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9.2.2 青贮切碎机</w:t>
      </w:r>
    </w:p>
    <w:p w14:paraId="73925C3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9.2.3 饲料（草）粉碎机</w:t>
      </w:r>
    </w:p>
    <w:p w14:paraId="4C5A6D7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9.2.4 颗粒饲料压制机</w:t>
      </w:r>
    </w:p>
    <w:p w14:paraId="5B90DF8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9.2.5 饲料混合机</w:t>
      </w:r>
    </w:p>
    <w:p w14:paraId="3F4712B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9.2.6 全混合日粮制备机 </w:t>
      </w:r>
    </w:p>
    <w:p w14:paraId="652626B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10.畜禽养殖机械</w:t>
      </w:r>
    </w:p>
    <w:p w14:paraId="3966E5B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10.1 畜禽养殖成套设备</w:t>
      </w:r>
    </w:p>
    <w:p w14:paraId="1B16EEE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10.1.1 蜜蜂养殖设备</w:t>
      </w:r>
    </w:p>
    <w:p w14:paraId="391674A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10.2 畜禽繁育设备</w:t>
      </w:r>
    </w:p>
    <w:p w14:paraId="0636EA6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10.2.1 孵化机</w:t>
      </w:r>
    </w:p>
    <w:p w14:paraId="0FA7482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10.3 饲养设备</w:t>
      </w:r>
    </w:p>
    <w:p w14:paraId="177A2DF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10.3.1 喂（送）料机</w:t>
      </w:r>
    </w:p>
    <w:p w14:paraId="0B6FCCB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11.畜禽产品采集储运设备</w:t>
      </w:r>
    </w:p>
    <w:p w14:paraId="2A81E64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11.1 畜禽产品采集设备</w:t>
      </w:r>
    </w:p>
    <w:p w14:paraId="6D6EBCD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11.1.1 挤奶机</w:t>
      </w:r>
    </w:p>
    <w:p w14:paraId="4B3191E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11.1.2 散装乳冷藏罐</w:t>
      </w:r>
    </w:p>
    <w:p w14:paraId="05F8BDD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12.畜禽养殖废弃物及病死畜禽处理设备</w:t>
      </w:r>
    </w:p>
    <w:p w14:paraId="4DCD2EB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 畜禽粪污资源化利用设备</w:t>
      </w:r>
    </w:p>
    <w:p w14:paraId="059480E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12.1.1 清粪机</w:t>
      </w:r>
    </w:p>
    <w:p w14:paraId="6834F9D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12.1.2 畜禽粪污固液分离机</w:t>
      </w:r>
    </w:p>
    <w:p w14:paraId="31D3DDF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12.1.3 畜禽粪便发酵处理设备</w:t>
      </w:r>
    </w:p>
    <w:p w14:paraId="065B459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12.1.4 畜禽粪便翻堆设备</w:t>
      </w:r>
    </w:p>
    <w:p w14:paraId="660EC86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12.1.5 畜禽粪便干燥设备</w:t>
      </w:r>
    </w:p>
    <w:p w14:paraId="1CE4284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12.1.6 沼液沼渣抽排设备</w:t>
      </w:r>
    </w:p>
    <w:p w14:paraId="74946DA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12.2 病死畜禽储运及处理设备</w:t>
      </w:r>
    </w:p>
    <w:p w14:paraId="69601FC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12.2.1 病死畜禽处理设备 </w:t>
      </w:r>
    </w:p>
    <w:p w14:paraId="1D6BDFE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13.水产养殖机械</w:t>
      </w:r>
    </w:p>
    <w:p w14:paraId="52F1DE7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13.1 投饲机械</w:t>
      </w:r>
    </w:p>
    <w:p w14:paraId="11C6B00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13.1.1 投（饲 ）饵机</w:t>
      </w:r>
    </w:p>
    <w:p w14:paraId="4D7DAA6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13.2 水质调控设备</w:t>
      </w:r>
    </w:p>
    <w:p w14:paraId="35C9F36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13.2.1 增氧机</w:t>
      </w:r>
    </w:p>
    <w:p w14:paraId="0CE4E90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13.2.2 水质调控监控设备 </w:t>
      </w:r>
    </w:p>
    <w:p w14:paraId="0642F3F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14.种子初加工机械</w:t>
      </w:r>
    </w:p>
    <w:p w14:paraId="3CAF9F1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14.1 种子初加工机械</w:t>
      </w:r>
    </w:p>
    <w:p w14:paraId="5375AD0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14.1.1 种子清选机</w:t>
      </w:r>
    </w:p>
    <w:p w14:paraId="4C99BD4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15.粮油糖初加工机械</w:t>
      </w:r>
    </w:p>
    <w:p w14:paraId="464DD5E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 粮食初加工机械</w:t>
      </w:r>
    </w:p>
    <w:p w14:paraId="506B0D1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15.1.1 谷物（粮食）干燥机（烘干机）</w:t>
      </w:r>
    </w:p>
    <w:p w14:paraId="35BB062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15.1.2 碾米机</w:t>
      </w:r>
    </w:p>
    <w:p w14:paraId="1BFF704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15.1.3 粮食色选机</w:t>
      </w:r>
    </w:p>
    <w:p w14:paraId="22577E5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15.1.4 磨浆机</w:t>
      </w:r>
    </w:p>
    <w:p w14:paraId="6CD1ABF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15.2 油料初加工机械</w:t>
      </w:r>
    </w:p>
    <w:p w14:paraId="0B1A542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w:t>
      </w:r>
      <w:r>
        <w:rPr>
          <w:rFonts w:hint="eastAsia" w:ascii="Times New Roman" w:hAnsi="Times New Roman" w:cs="仿宋"/>
          <w:spacing w:val="6"/>
          <w:sz w:val="31"/>
          <w:szCs w:val="31"/>
          <w:lang w:val="en-US" w:eastAsia="zh-CN"/>
        </w:rPr>
        <w:t>5</w:t>
      </w:r>
      <w:r>
        <w:rPr>
          <w:rFonts w:ascii="Times New Roman" w:hAnsi="Times New Roman" w:eastAsia="仿宋" w:cs="仿宋"/>
          <w:spacing w:val="6"/>
          <w:sz w:val="31"/>
          <w:szCs w:val="31"/>
        </w:rPr>
        <w:t>.2.1 油菜籽干燥机</w:t>
      </w:r>
    </w:p>
    <w:p w14:paraId="2D0327F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16.果菜茶初加工机械</w:t>
      </w:r>
    </w:p>
    <w:p w14:paraId="28B556D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 果蔬初加工机械</w:t>
      </w:r>
    </w:p>
    <w:p w14:paraId="20085EC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16.1.1 果蔬分级机</w:t>
      </w:r>
    </w:p>
    <w:p w14:paraId="312C68B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16.1.2 果蔬清洗机</w:t>
      </w:r>
    </w:p>
    <w:p w14:paraId="0EFA27E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16.1.3 水果打蜡机</w:t>
      </w:r>
    </w:p>
    <w:p w14:paraId="226EF18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16.1.4 果蔬干燥机</w:t>
      </w:r>
    </w:p>
    <w:p w14:paraId="0FAE011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16.1.5 果蔬冷藏保鲜设备</w:t>
      </w:r>
    </w:p>
    <w:p w14:paraId="6A4E6F2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 茶叶初加工机械</w:t>
      </w:r>
    </w:p>
    <w:p w14:paraId="7731378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16.2.1 茶叶杀青机</w:t>
      </w:r>
    </w:p>
    <w:p w14:paraId="637D0B2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16.2.2 茶叶揉捻机</w:t>
      </w:r>
    </w:p>
    <w:p w14:paraId="0D02897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16.2.3 茶叶理条机</w:t>
      </w:r>
    </w:p>
    <w:p w14:paraId="23BCBDA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16.2.4 茶叶炒（烘）干机</w:t>
      </w:r>
    </w:p>
    <w:p w14:paraId="5F19170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16.2.5 茶叶清选机</w:t>
      </w:r>
    </w:p>
    <w:p w14:paraId="56FB3F6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16.2.6 茶叶色选机</w:t>
      </w:r>
    </w:p>
    <w:p w14:paraId="60F189A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16.2.7 茶叶输送机</w:t>
      </w:r>
    </w:p>
    <w:p w14:paraId="4AF69BE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17.棉麻蚕初加工机械</w:t>
      </w:r>
    </w:p>
    <w:p w14:paraId="767038C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17.1 麻类初加工机械</w:t>
      </w:r>
    </w:p>
    <w:p w14:paraId="31DE43C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17.1.1 剥（ 刮 ）麻机</w:t>
      </w:r>
    </w:p>
    <w:p w14:paraId="2955150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18.农用动力机械</w:t>
      </w:r>
    </w:p>
    <w:p w14:paraId="7BCC77E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18.1 拖拉机</w:t>
      </w:r>
    </w:p>
    <w:p w14:paraId="2997F67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18.1.1 轮式拖拉机</w:t>
      </w:r>
    </w:p>
    <w:p w14:paraId="03A2A31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18.1.2 履带式拖拉机 </w:t>
      </w:r>
    </w:p>
    <w:p w14:paraId="28A368D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19.农用搬运机械</w:t>
      </w:r>
    </w:p>
    <w:p w14:paraId="5AC99A2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19.1 农用运输机械</w:t>
      </w:r>
    </w:p>
    <w:p w14:paraId="2A38736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19.1.1 轨道运输机 </w:t>
      </w:r>
    </w:p>
    <w:p w14:paraId="29FB78B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20.农用水泵</w:t>
      </w:r>
    </w:p>
    <w:p w14:paraId="2EAAA9C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20.1 农用水泵</w:t>
      </w:r>
    </w:p>
    <w:p w14:paraId="0A9DA2D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20.1.1 潜水电泵</w:t>
      </w:r>
    </w:p>
    <w:p w14:paraId="69273C3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 xml:space="preserve">20.1.2 地面泵（机组 ） </w:t>
      </w:r>
    </w:p>
    <w:p w14:paraId="572027C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21.设施环境控制设备</w:t>
      </w:r>
    </w:p>
    <w:p w14:paraId="536374A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21.1 设施环境控制设备</w:t>
      </w:r>
    </w:p>
    <w:p w14:paraId="18AD68A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21.1.1 加温设备</w:t>
      </w:r>
    </w:p>
    <w:p w14:paraId="2A04DEF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21.1.2 湿帘降温设备</w:t>
      </w:r>
    </w:p>
    <w:p w14:paraId="5BD7AAB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hint="eastAsia" w:ascii="黑体" w:hAnsi="黑体" w:eastAsia="黑体" w:cs="黑体"/>
          <w:b/>
          <w:bCs/>
          <w:spacing w:val="6"/>
          <w:sz w:val="31"/>
          <w:szCs w:val="31"/>
        </w:rPr>
      </w:pPr>
      <w:r>
        <w:rPr>
          <w:rFonts w:hint="eastAsia" w:ascii="黑体" w:hAnsi="黑体" w:eastAsia="黑体" w:cs="黑体"/>
          <w:b/>
          <w:bCs/>
          <w:spacing w:val="6"/>
          <w:sz w:val="31"/>
          <w:szCs w:val="31"/>
        </w:rPr>
        <w:t>22.农田基本建设机械</w:t>
      </w:r>
    </w:p>
    <w:p w14:paraId="6CEE0F9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Times New Roman" w:hAnsi="Times New Roman" w:eastAsia="仿宋" w:cs="仿宋"/>
          <w:spacing w:val="6"/>
          <w:sz w:val="31"/>
          <w:szCs w:val="31"/>
        </w:rPr>
      </w:pPr>
      <w:r>
        <w:rPr>
          <w:rFonts w:ascii="Times New Roman" w:hAnsi="Times New Roman" w:eastAsia="仿宋" w:cs="仿宋"/>
          <w:spacing w:val="6"/>
          <w:sz w:val="31"/>
          <w:szCs w:val="31"/>
        </w:rPr>
        <w:t>22.1 平地机械（ 限与拖拉机配套）</w:t>
      </w:r>
    </w:p>
    <w:p w14:paraId="266590E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645"/>
        <w:jc w:val="both"/>
        <w:textAlignment w:val="baseline"/>
        <w:rPr>
          <w:rFonts w:ascii="微软雅黑" w:hAnsi="微软雅黑" w:eastAsia="微软雅黑" w:cs="微软雅黑"/>
          <w:sz w:val="30"/>
          <w:szCs w:val="30"/>
        </w:rPr>
      </w:pPr>
      <w:r>
        <w:rPr>
          <w:rFonts w:ascii="Times New Roman" w:hAnsi="Times New Roman" w:eastAsia="仿宋" w:cs="仿宋"/>
          <w:spacing w:val="6"/>
          <w:sz w:val="31"/>
          <w:szCs w:val="31"/>
        </w:rPr>
        <w:t>22.1.1 平地机</w:t>
      </w:r>
    </w:p>
    <w:p w14:paraId="5D5E424C">
      <w:pPr>
        <w:keepNext w:val="0"/>
        <w:keepLines w:val="0"/>
        <w:pageBreakBefore w:val="0"/>
        <w:wordWrap/>
        <w:overflowPunct/>
        <w:topLinePunct w:val="0"/>
        <w:bidi w:val="0"/>
        <w:spacing w:line="576" w:lineRule="exact"/>
        <w:ind w:left="0" w:leftChars="0" w:right="0"/>
        <w:jc w:val="both"/>
        <w:rPr>
          <w:rFonts w:ascii="微软雅黑" w:hAnsi="微软雅黑" w:eastAsia="微软雅黑" w:cs="微软雅黑"/>
          <w:sz w:val="30"/>
          <w:szCs w:val="30"/>
        </w:rPr>
        <w:sectPr>
          <w:footerReference r:id="rId6" w:type="default"/>
          <w:pgSz w:w="12309" w:h="17110"/>
          <w:pgMar w:top="2098" w:right="1474" w:bottom="1984" w:left="1587" w:header="0" w:footer="1262" w:gutter="0"/>
          <w:pgNumType w:fmt="decimal"/>
          <w:cols w:space="720" w:num="1"/>
        </w:sectPr>
      </w:pPr>
    </w:p>
    <w:p w14:paraId="4201D3C3">
      <w:pPr>
        <w:keepNext w:val="0"/>
        <w:keepLines w:val="0"/>
        <w:pageBreakBefore w:val="0"/>
        <w:wordWrap/>
        <w:overflowPunct/>
        <w:topLinePunct w:val="0"/>
        <w:bidi w:val="0"/>
        <w:spacing w:line="576" w:lineRule="exact"/>
        <w:ind w:left="0" w:leftChars="0" w:right="0" w:firstLine="0" w:firstLineChars="0"/>
        <w:jc w:val="both"/>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hint="eastAsia" w:ascii="黑体" w:hAnsi="黑体" w:eastAsia="黑体" w:cs="黑体"/>
          <w:spacing w:val="-61"/>
          <w:sz w:val="31"/>
          <w:szCs w:val="31"/>
          <w:lang w:val="en-US" w:eastAsia="zh-CN"/>
        </w:rPr>
        <w:t>2</w:t>
      </w:r>
    </w:p>
    <w:p w14:paraId="1905B8AD">
      <w:pPr>
        <w:keepNext w:val="0"/>
        <w:keepLines w:val="0"/>
        <w:pageBreakBefore w:val="0"/>
        <w:widowControl w:val="0"/>
        <w:suppressAutoHyphens/>
        <w:kinsoku/>
        <w:wordWrap/>
        <w:overflowPunct/>
        <w:topLinePunct w:val="0"/>
        <w:autoSpaceDE/>
        <w:autoSpaceDN/>
        <w:bidi w:val="0"/>
        <w:adjustRightInd/>
        <w:snapToGrid/>
        <w:spacing w:line="576" w:lineRule="exact"/>
        <w:ind w:left="0" w:leftChars="0" w:right="0" w:firstLine="0" w:firstLineChars="0"/>
        <w:jc w:val="both"/>
        <w:textAlignment w:val="auto"/>
        <w:rPr>
          <w:rFonts w:hint="default" w:ascii="Times New Roman" w:hAnsi="Times New Roman" w:eastAsia="方正小标宋简体" w:cs="Times New Roman"/>
          <w:b w:val="0"/>
          <w:bCs w:val="0"/>
          <w:snapToGrid/>
          <w:color w:val="auto"/>
          <w:kern w:val="2"/>
          <w:sz w:val="44"/>
          <w:szCs w:val="44"/>
          <w:lang w:eastAsia="zh-CN"/>
        </w:rPr>
      </w:pPr>
      <w:r>
        <w:rPr>
          <w:rFonts w:hint="eastAsia" w:ascii="Times New Roman" w:hAnsi="Times New Roman" w:eastAsia="方正小标宋简体" w:cs="Times New Roman"/>
          <w:b w:val="0"/>
          <w:bCs w:val="0"/>
          <w:snapToGrid/>
          <w:color w:val="auto"/>
          <w:kern w:val="2"/>
          <w:sz w:val="44"/>
          <w:szCs w:val="44"/>
          <w:u w:val="single"/>
          <w:lang w:val="en-US" w:eastAsia="zh-CN"/>
        </w:rPr>
        <w:t xml:space="preserve">         </w:t>
      </w:r>
      <w:r>
        <w:rPr>
          <w:rFonts w:hint="default" w:ascii="Times New Roman" w:hAnsi="Times New Roman" w:eastAsia="方正小标宋简体" w:cs="Times New Roman"/>
          <w:b w:val="0"/>
          <w:bCs w:val="0"/>
          <w:snapToGrid/>
          <w:color w:val="auto"/>
          <w:kern w:val="2"/>
          <w:sz w:val="44"/>
          <w:szCs w:val="44"/>
          <w:lang w:eastAsia="zh-CN"/>
        </w:rPr>
        <w:t>年度</w:t>
      </w:r>
      <w:r>
        <w:rPr>
          <w:rFonts w:hint="default" w:ascii="Times New Roman" w:hAnsi="Times New Roman" w:eastAsia="方正小标宋简体" w:cs="Times New Roman"/>
          <w:b w:val="0"/>
          <w:bCs w:val="0"/>
          <w:snapToGrid/>
          <w:color w:val="auto"/>
          <w:kern w:val="2"/>
          <w:sz w:val="44"/>
          <w:szCs w:val="44"/>
          <w:u w:val="single"/>
          <w:lang w:eastAsia="zh-CN"/>
        </w:rPr>
        <w:t xml:space="preserve">        </w:t>
      </w:r>
      <w:r>
        <w:rPr>
          <w:rFonts w:hint="default" w:ascii="Times New Roman" w:hAnsi="Times New Roman" w:eastAsia="方正小标宋简体" w:cs="Times New Roman"/>
          <w:b w:val="0"/>
          <w:bCs w:val="0"/>
          <w:snapToGrid/>
          <w:color w:val="auto"/>
          <w:kern w:val="2"/>
          <w:sz w:val="44"/>
          <w:szCs w:val="44"/>
          <w:lang w:eastAsia="zh-CN"/>
        </w:rPr>
        <w:t>县（市 、区）享受农机购置与应用补贴的购机者信息表</w:t>
      </w:r>
    </w:p>
    <w:p w14:paraId="59173115">
      <w:pPr>
        <w:pStyle w:val="2"/>
        <w:keepNext w:val="0"/>
        <w:keepLines w:val="0"/>
        <w:pageBreakBefore w:val="0"/>
        <w:wordWrap/>
        <w:overflowPunct/>
        <w:topLinePunct w:val="0"/>
        <w:bidi w:val="0"/>
        <w:spacing w:line="576" w:lineRule="exact"/>
        <w:ind w:left="0" w:leftChars="0" w:right="0"/>
        <w:jc w:val="both"/>
      </w:pPr>
    </w:p>
    <w:p w14:paraId="29D999BD">
      <w:pPr>
        <w:keepNext w:val="0"/>
        <w:keepLines w:val="0"/>
        <w:pageBreakBefore w:val="0"/>
        <w:wordWrap/>
        <w:overflowPunct/>
        <w:topLinePunct w:val="0"/>
        <w:bidi w:val="0"/>
        <w:spacing w:line="576" w:lineRule="exact"/>
        <w:ind w:left="0" w:leftChars="0" w:right="0" w:firstLine="306" w:firstLineChars="100"/>
        <w:jc w:val="both"/>
        <w:rPr>
          <w:rFonts w:hint="eastAsia" w:ascii="黑体" w:hAnsi="黑体" w:eastAsia="黑体" w:cs="黑体"/>
          <w:b w:val="0"/>
          <w:bCs w:val="0"/>
          <w:sz w:val="31"/>
          <w:szCs w:val="31"/>
        </w:rPr>
      </w:pPr>
      <w:r>
        <w:rPr>
          <w:rFonts w:hint="eastAsia" w:ascii="黑体" w:hAnsi="黑体" w:eastAsia="黑体" w:cs="黑体"/>
          <w:b w:val="0"/>
          <w:bCs w:val="0"/>
          <w:spacing w:val="-2"/>
          <w:sz w:val="31"/>
          <w:szCs w:val="31"/>
        </w:rPr>
        <w:t xml:space="preserve">单位：                             </w:t>
      </w:r>
      <w:r>
        <w:rPr>
          <w:rFonts w:hint="eastAsia" w:ascii="黑体" w:hAnsi="黑体" w:eastAsia="黑体" w:cs="黑体"/>
          <w:b w:val="0"/>
          <w:bCs w:val="0"/>
          <w:spacing w:val="-3"/>
          <w:sz w:val="31"/>
          <w:szCs w:val="31"/>
        </w:rPr>
        <w:t xml:space="preserve">           </w:t>
      </w:r>
      <w:r>
        <w:rPr>
          <w:rFonts w:hint="eastAsia" w:ascii="黑体" w:hAnsi="黑体" w:eastAsia="黑体" w:cs="黑体"/>
          <w:b w:val="0"/>
          <w:bCs w:val="0"/>
          <w:spacing w:val="-3"/>
          <w:sz w:val="31"/>
          <w:szCs w:val="31"/>
          <w:lang w:val="en-US" w:eastAsia="zh-CN"/>
        </w:rPr>
        <w:t xml:space="preserve">       </w:t>
      </w:r>
      <w:r>
        <w:rPr>
          <w:rFonts w:hint="eastAsia" w:ascii="黑体" w:hAnsi="黑体" w:eastAsia="黑体" w:cs="黑体"/>
          <w:b w:val="0"/>
          <w:bCs w:val="0"/>
          <w:spacing w:val="-3"/>
          <w:sz w:val="31"/>
          <w:szCs w:val="31"/>
        </w:rPr>
        <w:t xml:space="preserve">         时间：</w:t>
      </w:r>
      <w:r>
        <w:rPr>
          <w:rFonts w:hint="eastAsia" w:ascii="黑体" w:hAnsi="黑体" w:eastAsia="黑体" w:cs="黑体"/>
          <w:b w:val="0"/>
          <w:bCs w:val="0"/>
          <w:spacing w:val="-3"/>
          <w:sz w:val="31"/>
          <w:szCs w:val="31"/>
          <w:lang w:val="en-US" w:eastAsia="zh-CN"/>
        </w:rPr>
        <w:t xml:space="preserve">  </w:t>
      </w:r>
      <w:r>
        <w:rPr>
          <w:rFonts w:hint="eastAsia" w:ascii="黑体" w:hAnsi="黑体" w:eastAsia="黑体" w:cs="黑体"/>
          <w:b w:val="0"/>
          <w:bCs w:val="0"/>
          <w:spacing w:val="-62"/>
          <w:sz w:val="31"/>
          <w:szCs w:val="31"/>
        </w:rPr>
        <w:t xml:space="preserve"> </w:t>
      </w:r>
      <w:r>
        <w:rPr>
          <w:rFonts w:hint="eastAsia" w:ascii="黑体" w:hAnsi="黑体" w:eastAsia="黑体" w:cs="黑体"/>
          <w:b w:val="0"/>
          <w:bCs w:val="0"/>
          <w:spacing w:val="-3"/>
          <w:sz w:val="31"/>
          <w:szCs w:val="31"/>
        </w:rPr>
        <w:t>年   月   日</w:t>
      </w:r>
    </w:p>
    <w:tbl>
      <w:tblPr>
        <w:tblStyle w:val="8"/>
        <w:tblW w:w="139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33"/>
        <w:gridCol w:w="992"/>
        <w:gridCol w:w="1116"/>
        <w:gridCol w:w="907"/>
        <w:gridCol w:w="907"/>
        <w:gridCol w:w="907"/>
        <w:gridCol w:w="907"/>
        <w:gridCol w:w="1246"/>
        <w:gridCol w:w="1133"/>
        <w:gridCol w:w="1420"/>
        <w:gridCol w:w="1416"/>
        <w:gridCol w:w="1280"/>
      </w:tblGrid>
      <w:tr w14:paraId="6887E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572" w:type="dxa"/>
            <w:vMerge w:val="restart"/>
            <w:tcBorders>
              <w:bottom w:val="nil"/>
            </w:tcBorders>
            <w:vAlign w:val="center"/>
          </w:tcPr>
          <w:p w14:paraId="305C1D5A">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31"/>
                <w:szCs w:val="31"/>
              </w:rPr>
            </w:pPr>
            <w:r>
              <w:rPr>
                <w:rFonts w:hint="eastAsia" w:ascii="黑体" w:hAnsi="黑体" w:eastAsia="黑体" w:cs="黑体"/>
                <w:b w:val="0"/>
                <w:bCs w:val="0"/>
                <w:sz w:val="31"/>
                <w:szCs w:val="31"/>
                <w:lang w:eastAsia="zh-CN"/>
              </w:rPr>
              <w:t>序</w:t>
            </w:r>
            <w:r>
              <w:rPr>
                <w:rFonts w:hint="eastAsia" w:ascii="黑体" w:hAnsi="黑体" w:eastAsia="黑体" w:cs="黑体"/>
                <w:b w:val="0"/>
                <w:bCs w:val="0"/>
                <w:spacing w:val="-12"/>
                <w:sz w:val="31"/>
                <w:szCs w:val="31"/>
              </w:rPr>
              <w:t>号</w:t>
            </w:r>
          </w:p>
        </w:tc>
        <w:tc>
          <w:tcPr>
            <w:tcW w:w="3241" w:type="dxa"/>
            <w:gridSpan w:val="3"/>
            <w:vAlign w:val="center"/>
          </w:tcPr>
          <w:p w14:paraId="01A4232D">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31"/>
                <w:szCs w:val="31"/>
              </w:rPr>
            </w:pPr>
            <w:r>
              <w:rPr>
                <w:rFonts w:hint="eastAsia" w:ascii="黑体" w:hAnsi="黑体" w:eastAsia="黑体" w:cs="黑体"/>
                <w:b w:val="0"/>
                <w:bCs w:val="0"/>
                <w:spacing w:val="4"/>
                <w:position w:val="1"/>
                <w:sz w:val="31"/>
                <w:szCs w:val="31"/>
              </w:rPr>
              <w:t>购机者</w:t>
            </w:r>
          </w:p>
        </w:tc>
        <w:tc>
          <w:tcPr>
            <w:tcW w:w="7427" w:type="dxa"/>
            <w:gridSpan w:val="7"/>
            <w:vAlign w:val="center"/>
          </w:tcPr>
          <w:p w14:paraId="598D753D">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31"/>
                <w:szCs w:val="31"/>
              </w:rPr>
            </w:pPr>
            <w:r>
              <w:rPr>
                <w:rFonts w:hint="eastAsia" w:ascii="黑体" w:hAnsi="黑体" w:eastAsia="黑体" w:cs="黑体"/>
                <w:b w:val="0"/>
                <w:bCs w:val="0"/>
                <w:spacing w:val="2"/>
                <w:position w:val="1"/>
                <w:sz w:val="31"/>
                <w:szCs w:val="31"/>
              </w:rPr>
              <w:t>补贴机具</w:t>
            </w:r>
          </w:p>
        </w:tc>
        <w:tc>
          <w:tcPr>
            <w:tcW w:w="2696" w:type="dxa"/>
            <w:gridSpan w:val="2"/>
            <w:vAlign w:val="center"/>
          </w:tcPr>
          <w:p w14:paraId="1FBD8FFA">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31"/>
                <w:szCs w:val="31"/>
              </w:rPr>
            </w:pPr>
            <w:r>
              <w:rPr>
                <w:rFonts w:hint="eastAsia" w:ascii="黑体" w:hAnsi="黑体" w:eastAsia="黑体" w:cs="黑体"/>
                <w:b w:val="0"/>
                <w:bCs w:val="0"/>
                <w:spacing w:val="2"/>
                <w:position w:val="1"/>
                <w:sz w:val="31"/>
                <w:szCs w:val="31"/>
              </w:rPr>
              <w:t>补贴资金</w:t>
            </w:r>
          </w:p>
        </w:tc>
      </w:tr>
      <w:tr w14:paraId="7640F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jc w:val="center"/>
        </w:trPr>
        <w:tc>
          <w:tcPr>
            <w:tcW w:w="572" w:type="dxa"/>
            <w:vMerge w:val="continue"/>
            <w:tcBorders>
              <w:top w:val="nil"/>
            </w:tcBorders>
            <w:vAlign w:val="center"/>
          </w:tcPr>
          <w:p w14:paraId="1F586D9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z w:val="21"/>
              </w:rPr>
            </w:pPr>
          </w:p>
        </w:tc>
        <w:tc>
          <w:tcPr>
            <w:tcW w:w="1133" w:type="dxa"/>
            <w:vAlign w:val="center"/>
          </w:tcPr>
          <w:p w14:paraId="2F97D107">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
              </w:rPr>
              <w:t>所在乡</w:t>
            </w:r>
            <w:r>
              <w:rPr>
                <w:rFonts w:hint="eastAsia" w:ascii="黑体" w:hAnsi="黑体" w:eastAsia="黑体" w:cs="黑体"/>
                <w:b w:val="0"/>
                <w:bCs w:val="0"/>
                <w:spacing w:val="-39"/>
              </w:rPr>
              <w:t>（镇）</w:t>
            </w:r>
          </w:p>
        </w:tc>
        <w:tc>
          <w:tcPr>
            <w:tcW w:w="992" w:type="dxa"/>
            <w:vAlign w:val="center"/>
          </w:tcPr>
          <w:p w14:paraId="58467E4C">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
              </w:rPr>
              <w:t>所在</w:t>
            </w:r>
            <w:r>
              <w:rPr>
                <w:rFonts w:hint="eastAsia" w:ascii="黑体" w:hAnsi="黑体" w:eastAsia="黑体" w:cs="黑体"/>
                <w:b w:val="0"/>
                <w:bCs w:val="0"/>
                <w:spacing w:val="-5"/>
              </w:rPr>
              <w:t>村组</w:t>
            </w:r>
          </w:p>
        </w:tc>
        <w:tc>
          <w:tcPr>
            <w:tcW w:w="1116" w:type="dxa"/>
            <w:vAlign w:val="center"/>
          </w:tcPr>
          <w:p w14:paraId="32574334">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
              </w:rPr>
              <w:t>购机者</w:t>
            </w:r>
            <w:r>
              <w:rPr>
                <w:rFonts w:hint="eastAsia" w:ascii="黑体" w:hAnsi="黑体" w:eastAsia="黑体" w:cs="黑体"/>
                <w:b w:val="0"/>
                <w:bCs w:val="0"/>
                <w:spacing w:val="-5"/>
              </w:rPr>
              <w:t>姓名</w:t>
            </w:r>
          </w:p>
        </w:tc>
        <w:tc>
          <w:tcPr>
            <w:tcW w:w="907" w:type="dxa"/>
            <w:vAlign w:val="center"/>
          </w:tcPr>
          <w:p w14:paraId="1C6269CF">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5"/>
              </w:rPr>
              <w:t>机具</w:t>
            </w:r>
            <w:r>
              <w:rPr>
                <w:rFonts w:hint="eastAsia" w:ascii="黑体" w:hAnsi="黑体" w:eastAsia="黑体" w:cs="黑体"/>
                <w:b w:val="0"/>
                <w:bCs w:val="0"/>
                <w:spacing w:val="-13"/>
              </w:rPr>
              <w:t>品目</w:t>
            </w:r>
          </w:p>
        </w:tc>
        <w:tc>
          <w:tcPr>
            <w:tcW w:w="907" w:type="dxa"/>
            <w:vAlign w:val="center"/>
          </w:tcPr>
          <w:p w14:paraId="03A2008B">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9"/>
              </w:rPr>
              <w:t>生产</w:t>
            </w:r>
            <w:r>
              <w:rPr>
                <w:rFonts w:hint="eastAsia" w:ascii="黑体" w:hAnsi="黑体" w:eastAsia="黑体" w:cs="黑体"/>
                <w:b w:val="0"/>
                <w:bCs w:val="0"/>
                <w:spacing w:val="-3"/>
              </w:rPr>
              <w:t>厂家</w:t>
            </w:r>
          </w:p>
        </w:tc>
        <w:tc>
          <w:tcPr>
            <w:tcW w:w="907" w:type="dxa"/>
            <w:vAlign w:val="center"/>
          </w:tcPr>
          <w:p w14:paraId="28FE6554">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1"/>
              </w:rPr>
              <w:t>产品</w:t>
            </w:r>
            <w:r>
              <w:rPr>
                <w:rFonts w:hint="eastAsia" w:ascii="黑体" w:hAnsi="黑体" w:eastAsia="黑体" w:cs="黑体"/>
                <w:b w:val="0"/>
                <w:bCs w:val="0"/>
                <w:spacing w:val="-6"/>
              </w:rPr>
              <w:t>名称</w:t>
            </w:r>
          </w:p>
        </w:tc>
        <w:tc>
          <w:tcPr>
            <w:tcW w:w="907" w:type="dxa"/>
            <w:vAlign w:val="center"/>
          </w:tcPr>
          <w:p w14:paraId="3178E04E">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
              </w:rPr>
              <w:t>购买</w:t>
            </w:r>
            <w:r>
              <w:rPr>
                <w:rFonts w:hint="eastAsia" w:ascii="黑体" w:hAnsi="黑体" w:eastAsia="黑体" w:cs="黑体"/>
                <w:b w:val="0"/>
                <w:bCs w:val="0"/>
                <w:spacing w:val="-5"/>
              </w:rPr>
              <w:t>机型</w:t>
            </w:r>
          </w:p>
        </w:tc>
        <w:tc>
          <w:tcPr>
            <w:tcW w:w="1246" w:type="dxa"/>
            <w:vAlign w:val="center"/>
          </w:tcPr>
          <w:p w14:paraId="152B8F9A">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4"/>
              </w:rPr>
              <w:t>经销商</w:t>
            </w:r>
          </w:p>
        </w:tc>
        <w:tc>
          <w:tcPr>
            <w:tcW w:w="1133" w:type="dxa"/>
            <w:vAlign w:val="center"/>
          </w:tcPr>
          <w:p w14:paraId="1C207CA6">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pacing w:val="-16"/>
              </w:rPr>
            </w:pPr>
            <w:r>
              <w:rPr>
                <w:rFonts w:hint="eastAsia" w:ascii="黑体" w:hAnsi="黑体" w:eastAsia="黑体" w:cs="黑体"/>
                <w:b w:val="0"/>
                <w:bCs w:val="0"/>
                <w:spacing w:val="-16"/>
              </w:rPr>
              <w:t>购买数</w:t>
            </w:r>
          </w:p>
          <w:p w14:paraId="03F1C517">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44"/>
                <w:w w:val="92"/>
              </w:rPr>
              <w:t>量（台）</w:t>
            </w:r>
          </w:p>
        </w:tc>
        <w:tc>
          <w:tcPr>
            <w:tcW w:w="1420" w:type="dxa"/>
            <w:vAlign w:val="center"/>
          </w:tcPr>
          <w:p w14:paraId="6D1C9C2B">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both"/>
              <w:textAlignment w:val="baseline"/>
              <w:rPr>
                <w:rFonts w:hint="eastAsia" w:ascii="黑体" w:hAnsi="黑体" w:eastAsia="黑体" w:cs="黑体"/>
                <w:b w:val="0"/>
                <w:bCs w:val="0"/>
                <w:spacing w:val="-15"/>
              </w:rPr>
            </w:pPr>
            <w:r>
              <w:rPr>
                <w:rFonts w:hint="eastAsia" w:ascii="黑体" w:hAnsi="黑体" w:eastAsia="黑体" w:cs="黑体"/>
                <w:b w:val="0"/>
                <w:bCs w:val="0"/>
                <w:spacing w:val="-15"/>
              </w:rPr>
              <w:t>单台销售</w:t>
            </w:r>
          </w:p>
          <w:p w14:paraId="3F128949">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7"/>
                <w:w w:val="96"/>
              </w:rPr>
              <w:t>价格（元）</w:t>
            </w:r>
          </w:p>
        </w:tc>
        <w:tc>
          <w:tcPr>
            <w:tcW w:w="1416" w:type="dxa"/>
            <w:vAlign w:val="center"/>
          </w:tcPr>
          <w:p w14:paraId="52D18D83">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5"/>
              </w:rPr>
              <w:t>单台补贴</w:t>
            </w:r>
            <w:r>
              <w:rPr>
                <w:rFonts w:hint="eastAsia" w:ascii="黑体" w:hAnsi="黑体" w:eastAsia="黑体" w:cs="黑体"/>
                <w:b w:val="0"/>
                <w:bCs w:val="0"/>
                <w:spacing w:val="-35"/>
              </w:rPr>
              <w:t>额（元）</w:t>
            </w:r>
          </w:p>
        </w:tc>
        <w:tc>
          <w:tcPr>
            <w:tcW w:w="1280" w:type="dxa"/>
            <w:vAlign w:val="center"/>
          </w:tcPr>
          <w:p w14:paraId="2F22A476">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spacing w:val="-7"/>
              </w:rPr>
            </w:pPr>
            <w:r>
              <w:rPr>
                <w:rFonts w:hint="eastAsia" w:ascii="黑体" w:hAnsi="黑体" w:eastAsia="黑体" w:cs="黑体"/>
                <w:b w:val="0"/>
                <w:bCs w:val="0"/>
                <w:spacing w:val="-7"/>
              </w:rPr>
              <w:t>总补贴</w:t>
            </w:r>
          </w:p>
          <w:p w14:paraId="22637F5B">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b w:val="0"/>
                <w:bCs w:val="0"/>
              </w:rPr>
            </w:pPr>
            <w:r>
              <w:rPr>
                <w:rFonts w:hint="eastAsia" w:ascii="黑体" w:hAnsi="黑体" w:eastAsia="黑体" w:cs="黑体"/>
                <w:b w:val="0"/>
                <w:bCs w:val="0"/>
                <w:spacing w:val="-35"/>
              </w:rPr>
              <w:t>额（元）</w:t>
            </w:r>
          </w:p>
        </w:tc>
      </w:tr>
      <w:tr w14:paraId="320BA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vAlign w:val="center"/>
          </w:tcPr>
          <w:p w14:paraId="0B64DE4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5A5893B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62550D8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7FC7D1F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0AEE4C0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D12377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5D1C9A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970DCF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43DF635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192C6B33">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rPr>
            </w:pPr>
          </w:p>
        </w:tc>
        <w:tc>
          <w:tcPr>
            <w:tcW w:w="1420" w:type="dxa"/>
            <w:vAlign w:val="center"/>
          </w:tcPr>
          <w:p w14:paraId="1D071328">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rPr>
            </w:pPr>
          </w:p>
        </w:tc>
        <w:tc>
          <w:tcPr>
            <w:tcW w:w="1416" w:type="dxa"/>
            <w:vAlign w:val="center"/>
          </w:tcPr>
          <w:p w14:paraId="0CAAF292">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rPr>
            </w:pPr>
          </w:p>
        </w:tc>
        <w:tc>
          <w:tcPr>
            <w:tcW w:w="1280" w:type="dxa"/>
            <w:vAlign w:val="center"/>
          </w:tcPr>
          <w:p w14:paraId="36C8D303">
            <w:pPr>
              <w:pStyle w:val="9"/>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rPr>
            </w:pPr>
          </w:p>
        </w:tc>
      </w:tr>
      <w:tr w14:paraId="12609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vAlign w:val="center"/>
          </w:tcPr>
          <w:p w14:paraId="4C3C8E2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1603E36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5403509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0F1655F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EF6364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733C01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15A3AF0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0CD55B8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4432416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42FA8FD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20" w:type="dxa"/>
            <w:vAlign w:val="center"/>
          </w:tcPr>
          <w:p w14:paraId="50BCE6DA">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16" w:type="dxa"/>
            <w:vAlign w:val="center"/>
          </w:tcPr>
          <w:p w14:paraId="6D80B72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80" w:type="dxa"/>
            <w:vAlign w:val="center"/>
          </w:tcPr>
          <w:p w14:paraId="34A9F37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r>
      <w:tr w14:paraId="6581B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572" w:type="dxa"/>
            <w:vAlign w:val="center"/>
          </w:tcPr>
          <w:p w14:paraId="279434B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45B5FA2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7D0F3E4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7780E6D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390795E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2A2BF920">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77E2BD6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52331DF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0822538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48CEEE0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20" w:type="dxa"/>
            <w:vAlign w:val="center"/>
          </w:tcPr>
          <w:p w14:paraId="3BE2AB8D">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16" w:type="dxa"/>
            <w:vAlign w:val="center"/>
          </w:tcPr>
          <w:p w14:paraId="46DB0FD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80" w:type="dxa"/>
            <w:vAlign w:val="center"/>
          </w:tcPr>
          <w:p w14:paraId="1A1FE7A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r>
      <w:tr w14:paraId="79101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572" w:type="dxa"/>
            <w:vAlign w:val="center"/>
          </w:tcPr>
          <w:p w14:paraId="215AC9E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676237E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1B9F4173">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45FAFC4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7ACF6072">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3E42C57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BD9344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90C0AD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757D51C5">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1065949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20" w:type="dxa"/>
            <w:vAlign w:val="center"/>
          </w:tcPr>
          <w:p w14:paraId="6543B687">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16" w:type="dxa"/>
            <w:vAlign w:val="center"/>
          </w:tcPr>
          <w:p w14:paraId="6EA18F6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80" w:type="dxa"/>
            <w:vAlign w:val="center"/>
          </w:tcPr>
          <w:p w14:paraId="05CE9631">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r>
      <w:tr w14:paraId="29CD87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572" w:type="dxa"/>
            <w:vAlign w:val="center"/>
          </w:tcPr>
          <w:p w14:paraId="423634B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285F6EB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92" w:type="dxa"/>
            <w:vAlign w:val="center"/>
          </w:tcPr>
          <w:p w14:paraId="0E420F79">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16" w:type="dxa"/>
            <w:vAlign w:val="center"/>
          </w:tcPr>
          <w:p w14:paraId="06C8AD7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3C6D628C">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4451AC6">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49A5070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907" w:type="dxa"/>
            <w:vAlign w:val="center"/>
          </w:tcPr>
          <w:p w14:paraId="22C34E58">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46" w:type="dxa"/>
            <w:vAlign w:val="center"/>
          </w:tcPr>
          <w:p w14:paraId="67F81BB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133" w:type="dxa"/>
            <w:vAlign w:val="center"/>
          </w:tcPr>
          <w:p w14:paraId="3AB1E2F4">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20" w:type="dxa"/>
            <w:vAlign w:val="center"/>
          </w:tcPr>
          <w:p w14:paraId="53AD149F">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416" w:type="dxa"/>
            <w:vAlign w:val="center"/>
          </w:tcPr>
          <w:p w14:paraId="1C311D6B">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c>
          <w:tcPr>
            <w:tcW w:w="1280" w:type="dxa"/>
            <w:vAlign w:val="center"/>
          </w:tcPr>
          <w:p w14:paraId="57EAB3EE">
            <w:pPr>
              <w:keepNext w:val="0"/>
              <w:keepLines w:val="0"/>
              <w:pageBreakBefore w:val="0"/>
              <w:widowControl/>
              <w:kinsoku w:val="0"/>
              <w:wordWrap/>
              <w:overflowPunct/>
              <w:topLinePunct w:val="0"/>
              <w:autoSpaceDE w:val="0"/>
              <w:autoSpaceDN w:val="0"/>
              <w:bidi w:val="0"/>
              <w:adjustRightInd w:val="0"/>
              <w:snapToGrid w:val="0"/>
              <w:spacing w:line="576" w:lineRule="exact"/>
              <w:ind w:left="0" w:leftChars="0" w:right="0" w:firstLine="0" w:firstLineChars="0"/>
              <w:jc w:val="center"/>
              <w:textAlignment w:val="baseline"/>
              <w:rPr>
                <w:rFonts w:hint="eastAsia" w:ascii="黑体" w:hAnsi="黑体" w:eastAsia="黑体" w:cs="黑体"/>
                <w:sz w:val="21"/>
              </w:rPr>
            </w:pPr>
          </w:p>
        </w:tc>
      </w:tr>
    </w:tbl>
    <w:p w14:paraId="0FC89108">
      <w:pPr>
        <w:pStyle w:val="2"/>
        <w:keepNext w:val="0"/>
        <w:keepLines w:val="0"/>
        <w:pageBreakBefore w:val="0"/>
        <w:wordWrap/>
        <w:overflowPunct/>
        <w:topLinePunct w:val="0"/>
        <w:bidi w:val="0"/>
        <w:spacing w:line="576" w:lineRule="exact"/>
        <w:ind w:left="0" w:leftChars="0" w:right="0"/>
        <w:jc w:val="both"/>
      </w:pPr>
    </w:p>
    <w:sectPr>
      <w:footerReference r:id="rId7" w:type="default"/>
      <w:pgSz w:w="16839" w:h="11906"/>
      <w:pgMar w:top="2098" w:right="1474" w:bottom="1984" w:left="1587" w:header="0" w:footer="8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FAB8E99-E554-4D82-AE3C-AF2CADD080DF}"/>
  </w:font>
  <w:font w:name="黑体">
    <w:panose1 w:val="02010609060101010101"/>
    <w:charset w:val="86"/>
    <w:family w:val="auto"/>
    <w:pitch w:val="default"/>
    <w:sig w:usb0="800002BF" w:usb1="38CF7CFA" w:usb2="00000016" w:usb3="00000000" w:csb0="00040001" w:csb1="00000000"/>
    <w:embedRegular r:id="rId2" w:fontKey="{BAAB0F3A-8F8A-4E82-A71D-97BE105C59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A2E801ED-063C-47C3-8F20-9A334809065C}"/>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B801C5BA-E1A6-45FB-94DD-B71FAB3941DE}"/>
  </w:font>
  <w:font w:name="微软雅黑">
    <w:panose1 w:val="020B0503020204020204"/>
    <w:charset w:val="86"/>
    <w:family w:val="auto"/>
    <w:pitch w:val="default"/>
    <w:sig w:usb0="80000287" w:usb1="2ACF3C50" w:usb2="00000016" w:usb3="00000000" w:csb0="0004001F" w:csb1="00000000"/>
    <w:embedRegular r:id="rId5" w:fontKey="{857A0065-E067-4D87-A3F5-040E51BBFF03}"/>
  </w:font>
  <w:font w:name="楷体_GB2312">
    <w:panose1 w:val="02010609030101010101"/>
    <w:charset w:val="86"/>
    <w:family w:val="auto"/>
    <w:pitch w:val="default"/>
    <w:sig w:usb0="00000001" w:usb1="080E0000" w:usb2="00000000" w:usb3="00000000" w:csb0="00040000" w:csb1="00000000"/>
    <w:embedRegular r:id="rId6" w:fontKey="{90B2107B-D5C9-44B7-8D24-68A3ACC916DC}"/>
  </w:font>
  <w:font w:name="楷体">
    <w:panose1 w:val="02010609060101010101"/>
    <w:charset w:val="86"/>
    <w:family w:val="auto"/>
    <w:pitch w:val="default"/>
    <w:sig w:usb0="800002BF" w:usb1="38CF7CFA" w:usb2="00000016" w:usb3="00000000" w:csb0="00040001" w:csb1="00000000"/>
    <w:embedRegular r:id="rId7" w:fontKey="{E9DBA8C6-0125-43BF-88F7-EF8E564519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05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12B8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112B8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C0A35">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7177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57177C">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EC1D5">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A1BBE">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82A1BBE">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gxYzU4NmQyY2MwMDRkZTYyNmQ4ZGM0MDE5NDllYjQifQ=="/>
  </w:docVars>
  <w:rsids>
    <w:rsidRoot w:val="00000000"/>
    <w:rsid w:val="04A874B9"/>
    <w:rsid w:val="0B3348DE"/>
    <w:rsid w:val="0D474670"/>
    <w:rsid w:val="103F3580"/>
    <w:rsid w:val="155D3B30"/>
    <w:rsid w:val="173768A1"/>
    <w:rsid w:val="17DE1EED"/>
    <w:rsid w:val="2BB331A5"/>
    <w:rsid w:val="2D0050A4"/>
    <w:rsid w:val="2D8566CB"/>
    <w:rsid w:val="36CD3B59"/>
    <w:rsid w:val="3BE86E9B"/>
    <w:rsid w:val="4D9877DD"/>
    <w:rsid w:val="5076286F"/>
    <w:rsid w:val="50937573"/>
    <w:rsid w:val="523A167B"/>
    <w:rsid w:val="534D53DE"/>
    <w:rsid w:val="55545149"/>
    <w:rsid w:val="55E75AAB"/>
    <w:rsid w:val="57C65B49"/>
    <w:rsid w:val="5BC326E1"/>
    <w:rsid w:val="5DCF1811"/>
    <w:rsid w:val="6089215C"/>
    <w:rsid w:val="61931E0F"/>
    <w:rsid w:val="62800319"/>
    <w:rsid w:val="62B340A0"/>
    <w:rsid w:val="63163A3E"/>
    <w:rsid w:val="691B1DAE"/>
    <w:rsid w:val="6F4147C5"/>
    <w:rsid w:val="724759C2"/>
    <w:rsid w:val="7E8A73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580" w:lineRule="exact"/>
      <w:ind w:firstLine="944" w:firstLineChars="200"/>
      <w:jc w:val="both"/>
      <w:textAlignment w:val="baseline"/>
    </w:pPr>
    <w:rPr>
      <w:rFonts w:ascii="Arial" w:hAnsi="Arial" w:eastAsia="仿宋" w:cs="Arial"/>
      <w:snapToGrid w:val="0"/>
      <w:color w:val="000000"/>
      <w:kern w:val="0"/>
      <w:sz w:val="32"/>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黑体" w:hAnsi="黑体" w:eastAsia="黑体" w:cs="黑体"/>
      <w:sz w:val="28"/>
      <w:szCs w:val="28"/>
      <w:lang w:val="en-US" w:eastAsia="en-US" w:bidi="ar-SA"/>
    </w:rPr>
  </w:style>
  <w:style w:type="character" w:customStyle="1" w:styleId="1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8998</Words>
  <Characters>9704</Characters>
  <TotalTime>0</TotalTime>
  <ScaleCrop>false</ScaleCrop>
  <LinksUpToDate>false</LinksUpToDate>
  <CharactersWithSpaces>9982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2024-08-14T09:18:00Z</dcterms:created>
  <dc:creator>deng</dc:creator>
  <cp:lastModifiedBy>dell-cp</cp:lastModifiedBy>
  <dcterms:modified xsi:type="dcterms:W3CDTF">2025-03-25T03:22:38Z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2024-08-26T16:48:14Z</vt:filetime>
  </property>
  <property fmtid="{D5CDD505-2E9C-101B-9397-08002B2CF9AE}" pid="4" name="KSOProductBuildVer">
    <vt:lpwstr>2052-12.1.0.20305</vt:lpwstr>
  </property>
  <property fmtid="{D5CDD505-2E9C-101B-9397-08002B2CF9AE}" pid="5" name="ICV">
    <vt:lpwstr>9F64C7C5A9B242E58BEEE2078EC68B1F_13</vt:lpwstr>
  </property>
  <property fmtid="{D5CDD505-2E9C-101B-9397-08002B2CF9AE}" pid="6" name="KSOTemplateDocerSaveRecord">
    <vt:lpwstr>eyJoZGlkIjoiNDU2MWQ1MDhkMzUyMWVhMDExNTViZmI2MWJhNjI0NmYifQ==</vt:lpwstr>
  </property>
</Properties>
</file>