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885"/>
        <w:jc w:val="center"/>
        <w:rPr>
          <w:rStyle w:val="5"/>
          <w:rFonts w:hint="eastAsia"/>
          <w:color w:val="333333"/>
          <w:sz w:val="44"/>
          <w:szCs w:val="44"/>
        </w:rPr>
      </w:pPr>
      <w:bookmarkStart w:id="0" w:name="_GoBack"/>
      <w:bookmarkEnd w:id="0"/>
      <w:r>
        <w:rPr>
          <w:rStyle w:val="5"/>
          <w:rFonts w:hint="eastAsia"/>
          <w:color w:val="333333"/>
          <w:sz w:val="44"/>
          <w:szCs w:val="44"/>
          <w:lang w:eastAsia="zh-CN"/>
        </w:rPr>
        <w:t>红原</w:t>
      </w:r>
      <w:r>
        <w:rPr>
          <w:rStyle w:val="5"/>
          <w:rFonts w:hint="eastAsia"/>
          <w:color w:val="333333"/>
          <w:sz w:val="44"/>
          <w:szCs w:val="44"/>
        </w:rPr>
        <w:t>县201</w:t>
      </w:r>
      <w:r>
        <w:rPr>
          <w:rStyle w:val="5"/>
          <w:rFonts w:hint="eastAsia"/>
          <w:color w:val="333333"/>
          <w:sz w:val="44"/>
          <w:szCs w:val="44"/>
          <w:lang w:val="en-US" w:eastAsia="zh-CN"/>
        </w:rPr>
        <w:t>9</w:t>
      </w:r>
      <w:r>
        <w:rPr>
          <w:rStyle w:val="5"/>
          <w:rFonts w:hint="eastAsia"/>
          <w:color w:val="333333"/>
          <w:sz w:val="44"/>
          <w:szCs w:val="44"/>
        </w:rPr>
        <w:t>年农机购机补贴</w:t>
      </w:r>
    </w:p>
    <w:p>
      <w:pPr>
        <w:pStyle w:val="2"/>
        <w:shd w:val="clear" w:color="auto" w:fill="FFFFFF"/>
        <w:spacing w:before="0" w:beforeAutospacing="0" w:after="0" w:afterAutospacing="0" w:line="555" w:lineRule="atLeast"/>
        <w:ind w:firstLine="885"/>
        <w:jc w:val="center"/>
        <w:rPr>
          <w:color w:val="333333"/>
          <w:sz w:val="20"/>
          <w:szCs w:val="20"/>
        </w:rPr>
      </w:pPr>
      <w:r>
        <w:rPr>
          <w:rStyle w:val="5"/>
          <w:rFonts w:hint="eastAsia"/>
          <w:color w:val="333333"/>
          <w:sz w:val="44"/>
          <w:szCs w:val="44"/>
        </w:rPr>
        <w:t>办理程序</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2．申请。购机户凭身份证、购机发票到县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局提出购机补贴申请。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3．受理。县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局农机监理站受理购机户的农机购置补贴申请，在系统中操作。</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4．核实。县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局联合</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财政局对已提出补贴资金申请的购机户进行购机核实，主要核实所购机具的真实性、分档名称对应的补贴额、所购机具整机出厂编号和发动机号码是否与“系统”录入的一致。入户核查面</w:t>
      </w:r>
      <w:r>
        <w:rPr>
          <w:rFonts w:hint="eastAsia" w:ascii="仿宋_GB2312" w:hAnsi="仿宋_GB2312" w:eastAsia="仿宋_GB2312" w:cs="仿宋_GB2312"/>
          <w:color w:val="333333"/>
          <w:sz w:val="32"/>
          <w:szCs w:val="32"/>
          <w:lang w:eastAsia="zh-CN"/>
        </w:rPr>
        <w:t>达到</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%，在此基础上，县农业畜牧和水务局、财政局等部门随机抽查。</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5．结算。县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局将核实后的农机购置补贴资金进行结算，并在系统中打印四川省农机购置补贴资金结算明细表，经县农业畜牧和水务局、县财政局签字盖章。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6．兑付。</w:t>
      </w:r>
      <w:r>
        <w:rPr>
          <w:rFonts w:hint="eastAsia" w:ascii="仿宋_GB2312" w:hAnsi="仿宋_GB2312" w:eastAsia="仿宋_GB2312" w:cs="仿宋_GB2312"/>
          <w:sz w:val="32"/>
          <w:szCs w:val="32"/>
        </w:rPr>
        <w:t>县科学技术和农业畜牧</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pPr>
        <w:pStyle w:val="2"/>
        <w:shd w:val="clear" w:color="auto" w:fill="FFFFFF"/>
        <w:spacing w:before="0" w:beforeAutospacing="0" w:after="0" w:afterAutospacing="0" w:line="585" w:lineRule="atLeast"/>
        <w:ind w:firstLine="630"/>
        <w:jc w:val="both"/>
        <w:rPr>
          <w:rFonts w:hint="eastAsia"/>
          <w:color w:val="333333"/>
          <w:sz w:val="20"/>
          <w:szCs w:val="2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774A"/>
    <w:rsid w:val="15497A77"/>
    <w:rsid w:val="32737D0F"/>
    <w:rsid w:val="3BBE0919"/>
    <w:rsid w:val="3C8A72AC"/>
    <w:rsid w:val="446C774A"/>
    <w:rsid w:val="6D535020"/>
    <w:rsid w:val="7F66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2018-12-06T08:33:00Z</dcterms:created>
  <dc:creator>Administrator</dc:creator>
  <cp:lastModifiedBy>Administrator</cp:lastModifiedBy>
  <dcterms:modified xsi:type="dcterms:W3CDTF">2019-12-02T09:00:30Z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