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峨边彝族自治县农业局</w:t>
      </w:r>
      <w:r>
        <w:rPr>
          <w:rFonts w:hint="eastAsia"/>
          <w:b/>
          <w:bCs/>
          <w:sz w:val="32"/>
          <w:szCs w:val="32"/>
        </w:rPr>
        <w:t>农机购置补贴核验流程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一、核查对象为</w:t>
      </w:r>
      <w:r>
        <w:rPr>
          <w:rFonts w:hint="eastAsia"/>
          <w:sz w:val="28"/>
          <w:szCs w:val="28"/>
          <w:lang w:eastAsia="zh-CN"/>
        </w:rPr>
        <w:t>峨边彝族自治县农业局</w:t>
      </w:r>
      <w:r>
        <w:rPr>
          <w:rFonts w:hint="eastAsia"/>
          <w:sz w:val="28"/>
          <w:szCs w:val="28"/>
        </w:rPr>
        <w:t>范围内享受国家购置补贴政策的机具。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二、核查方法采取</w:t>
      </w:r>
      <w:r>
        <w:rPr>
          <w:rFonts w:hint="eastAsia"/>
          <w:sz w:val="28"/>
          <w:szCs w:val="28"/>
          <w:lang w:eastAsia="zh-CN"/>
        </w:rPr>
        <w:t>农户带机入户</w:t>
      </w:r>
      <w:r>
        <w:rPr>
          <w:rFonts w:hint="eastAsia"/>
          <w:sz w:val="28"/>
          <w:szCs w:val="28"/>
        </w:rPr>
        <w:t>、农业部门抽查相结合，对购买量大，享受补贴额高和供需矛盾突出的机具进行重点核查核实。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三、实行“谁核实、谁签字、谁负责”的责任制度。建立完善的核实人员责任追究制度，规范核实人员的行为。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四、核实人员应按照“见人、见机、见票、对照铭牌标识”的要求，逐户逐台进行核实。重点核实购机人是否购机、所购机具是否与报送材料中的数据信息一致。不符合相关规定的要提出不予报补的书面建议。</w:t>
      </w:r>
    </w:p>
    <w:p>
      <w:pPr>
        <w:ind w:firstLine="560" w:firstLineChars="20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五、在核实过程中发现有违规操作、机具售后服务质量差、购机农户投诉较多的生产企业，严格按照《农业机械购置补贴产品违规经营行为处理办法（试行）》相关条款进行处理。对严重违规者，依规上报，取消补贴资格及列入黑名单。有违法现象的移交司法部门调查处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31619"/>
    <w:rsid w:val="6874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东方</cp:lastModifiedBy>
  <dcterms:modified xsi:type="dcterms:W3CDTF">2018-01-29T02:46:14Z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