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仿宋" w:hAnsi="仿宋" w:eastAsia="仿宋"/>
          <w:color w:val="000000"/>
          <w:szCs w:val="30"/>
        </w:rPr>
      </w:pPr>
      <w:r>
        <w:rPr>
          <w:rFonts w:hint="eastAsia" w:ascii="仿宋" w:hAnsi="仿宋" w:eastAsia="仿宋" w:cs="黑体"/>
          <w:color w:val="000000"/>
          <w:szCs w:val="30"/>
        </w:rPr>
        <w:t>附件1：</w:t>
      </w:r>
    </w:p>
    <w:p>
      <w:pPr>
        <w:shd w:val="clear" w:color="auto" w:fill="FFFFFF"/>
        <w:spacing w:line="640" w:lineRule="exact"/>
        <w:jc w:val="center"/>
        <w:rPr>
          <w:rFonts w:hint="eastAsia" w:ascii="仿宋" w:hAnsi="仿宋" w:eastAsia="仿宋" w:cs="方正小标宋_GBK"/>
          <w:b/>
          <w:color w:val="000000"/>
          <w:sz w:val="44"/>
          <w:szCs w:val="44"/>
        </w:rPr>
      </w:pPr>
      <w:r>
        <w:rPr>
          <w:rFonts w:hint="eastAsia" w:ascii="仿宋" w:hAnsi="仿宋" w:eastAsia="仿宋" w:cs="方正小标宋_GBK"/>
          <w:b/>
          <w:color w:val="000000"/>
          <w:sz w:val="44"/>
          <w:szCs w:val="44"/>
        </w:rPr>
        <w:t>内江市市中区农机购置补贴</w:t>
      </w:r>
    </w:p>
    <w:p>
      <w:pPr>
        <w:shd w:val="clear" w:color="auto" w:fill="FFFFFF"/>
        <w:spacing w:line="640" w:lineRule="exact"/>
        <w:jc w:val="center"/>
        <w:rPr>
          <w:rFonts w:hint="eastAsia" w:ascii="仿宋" w:hAnsi="仿宋" w:eastAsia="仿宋" w:cs="方正小标宋_GBK"/>
          <w:b/>
          <w:color w:val="000000"/>
          <w:sz w:val="44"/>
          <w:szCs w:val="44"/>
        </w:rPr>
      </w:pPr>
      <w:r>
        <w:rPr>
          <w:rFonts w:hint="eastAsia" w:ascii="仿宋" w:hAnsi="仿宋" w:eastAsia="仿宋" w:cs="方正小标宋_GBK"/>
          <w:b/>
          <w:color w:val="000000"/>
          <w:sz w:val="44"/>
          <w:szCs w:val="44"/>
        </w:rPr>
        <w:t>廉政风险防控机制建设实施方案</w:t>
      </w:r>
    </w:p>
    <w:p>
      <w:pPr>
        <w:shd w:val="clear" w:color="auto" w:fill="FFFFFF"/>
        <w:rPr>
          <w:rFonts w:hint="eastAsia" w:ascii="仿宋" w:hAnsi="仿宋" w:eastAsia="仿宋"/>
          <w:color w:val="000000"/>
          <w:szCs w:val="30"/>
        </w:rPr>
      </w:pPr>
      <w:r>
        <w:rPr>
          <w:rFonts w:hint="eastAsia" w:ascii="仿宋" w:hAnsi="仿宋" w:eastAsia="仿宋"/>
          <w:color w:val="000000"/>
          <w:szCs w:val="30"/>
        </w:rPr>
        <w:t>　　</w:t>
      </w:r>
      <w:bookmarkStart w:id="0" w:name="_GoBack"/>
      <w:bookmarkEnd w:id="0"/>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xml:space="preserve">    为认真贯彻落实农业部和省农业厅农机购置补贴廉政风险防控机制建设的相关要求，切实规范行政权力运作，提高行政效能，从源头上防治腐败，推动农机购置补贴政策的全面落实，按照《四川省农机购置补贴廉政风险防控机制建设实施方案》和《内江市农业机械购置补贴政策实施方案》的要求，制定本实施方案。</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一、指导思想</w:t>
      </w:r>
    </w:p>
    <w:p>
      <w:pPr>
        <w:shd w:val="clear" w:color="auto" w:fill="FFFFFF"/>
        <w:spacing w:line="536" w:lineRule="exact"/>
        <w:ind w:firstLine="600" w:firstLineChars="200"/>
        <w:rPr>
          <w:rFonts w:hint="eastAsia" w:ascii="仿宋" w:hAnsi="仿宋" w:eastAsia="仿宋"/>
          <w:color w:val="000000"/>
          <w:szCs w:val="30"/>
        </w:rPr>
      </w:pPr>
      <w:r>
        <w:rPr>
          <w:rFonts w:hint="eastAsia" w:ascii="仿宋" w:hAnsi="仿宋" w:eastAsia="仿宋"/>
          <w:color w:val="000000"/>
          <w:szCs w:val="30"/>
        </w:rPr>
        <w:t>以邓小平理论、“三个代表”重要思想和科学发展观为指导，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建设，促进领导干部及相关工作人员廉洁自律,正确行使权力，推动农机购置补贴项目健康运行。</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二、工作内容</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xml:space="preserve">    全面查找在农机购置补贴项目执行过程中，由于制度机制不健全、内外部环境影响等原因，可能引发不廉洁、不作为、乱作为等行为的廉政风险，有针对性地制定防控措施，对预防腐败和廉政勤政建设工作进行科学化、系统化管理。以农机地方累加补贴额制定、补贴对象确定、补贴资金管理和结算等环节为防控重点，在区、镇农机全面开展排查廉政风险点工作，制定防范措施，形成长效机制。</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三、实施步骤</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xml:space="preserve">　　推进农机购置补贴项目廉政风险防控机制建设，按照突出重点、分步实施、扎实推进、务求实效的总体要求， </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四、建立长效机制</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要统筹推进行政权力廉政风险评估防范机制、行政权力运行程序化和公开透明机制、行政权力运行绩效考核和责任追究机制等“三项机制”的相关工作，相互促进; 要统筹推进惩治和预防腐败体系建设的教育、制度、监督、改革、纠风、惩处等各项工作，发挥整体效能，提升整体工作水平。严肃处理项目实施中存在的违纪违规行为，增强干部队伍防腐拒变意识和纪律意识。</w:t>
      </w:r>
    </w:p>
    <w:p>
      <w:pPr>
        <w:shd w:val="clear" w:color="auto" w:fill="FFFFFF"/>
        <w:spacing w:line="536" w:lineRule="exact"/>
        <w:rPr>
          <w:rFonts w:hint="eastAsia" w:ascii="仿宋" w:hAnsi="仿宋" w:eastAsia="仿宋"/>
          <w:color w:val="000000"/>
          <w:szCs w:val="30"/>
        </w:rPr>
      </w:pPr>
      <w:r>
        <w:rPr>
          <w:rFonts w:hint="eastAsia" w:ascii="仿宋" w:hAnsi="仿宋" w:eastAsia="仿宋"/>
          <w:color w:val="000000"/>
          <w:szCs w:val="30"/>
        </w:rPr>
        <w:t>　　五、有关要求</w:t>
      </w:r>
    </w:p>
    <w:p>
      <w:pPr>
        <w:shd w:val="clear" w:color="auto" w:fill="FFFFFF"/>
        <w:snapToGrid w:val="0"/>
        <w:spacing w:line="536" w:lineRule="exact"/>
        <w:rPr>
          <w:rFonts w:hint="eastAsia" w:ascii="仿宋" w:hAnsi="仿宋" w:eastAsia="仿宋"/>
          <w:color w:val="000000"/>
          <w:szCs w:val="30"/>
        </w:rPr>
      </w:pPr>
      <w:r>
        <w:rPr>
          <w:rFonts w:hint="eastAsia" w:ascii="仿宋" w:hAnsi="仿宋" w:eastAsia="仿宋"/>
          <w:color w:val="000000"/>
          <w:szCs w:val="30"/>
        </w:rPr>
        <w:t>　　各镇农业主管部门要把农机购置补贴廉政风险防控机制建设工作作为深入开展创先争优活动和绩效考核的重要内容，按照党风廉政建设责任制的要求，将行政权力运行监控机制建设摆上重要议事日程，与农机购置补贴具体业务工作有机结合，及时研究解决工作推进中存在的问题，切实做到组织健全、措施有力、责任明确、成效显著。</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- 6 -</w:t>
                          </w:r>
                          <w:r>
                            <w:rPr>
                              <w:rFonts w:hint="eastAsia"/>
                              <w:sz w:val="24"/>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xFB7cBAABUAwAADgAAAGRycy9lMm9Eb2MueG1srVPBjtMwEL0j8Q+W&#10;7zTZi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bEUHtwEAAFQ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- 6 -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3246A"/>
    <w:rsid w:val="60C324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2018-01-15T08:53:00Z</dcterms:created>
  <dc:creator>lenovo</dc:creator>
  <cp:lastModifiedBy>lenovo</cp:lastModifiedBy>
  <dcterms:modified xsi:type="dcterms:W3CDTF">2018-01-15T08:54:39Z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