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50" w:lineRule="atLeast"/>
        <w:ind w:left="0" w:right="0"/>
        <w:jc w:val="center"/>
        <w:rPr>
          <w:rFonts w:hint="default" w:ascii="微软雅黑" w:hAnsi="微软雅黑" w:eastAsia="微软雅黑" w:cs="微软雅黑"/>
          <w:b w:val="0"/>
          <w:color w:val="2D7C24"/>
          <w:sz w:val="36"/>
          <w:szCs w:val="36"/>
        </w:rPr>
      </w:pPr>
      <w:r>
        <w:rPr>
          <w:rFonts w:hint="default" w:ascii="微软雅黑" w:hAnsi="微软雅黑" w:eastAsia="微软雅黑" w:cs="微软雅黑"/>
          <w:b w:val="0"/>
          <w:color w:val="2D7C24"/>
          <w:sz w:val="36"/>
          <w:szCs w:val="36"/>
          <w:shd w:val="clear" w:fill="FFFFFF"/>
        </w:rPr>
        <w:t>关于做好2017年农机购置补贴政策实施工作的通知</w:t>
      </w:r>
    </w:p>
    <w:p>
      <w:pPr>
        <w:keepNext w:val="0"/>
        <w:keepLines w:val="0"/>
        <w:widowControl/>
        <w:suppressLineNumbers w:val="0"/>
        <w:pBdr>
          <w:top w:val="dashed" w:color="E1E1E1" w:sz="6" w:space="0"/>
          <w:left w:val="dashed" w:color="E1E1E1" w:sz="6" w:space="0"/>
          <w:bottom w:val="dashed" w:color="E1E1E1" w:sz="6" w:space="0"/>
          <w:right w:val="dashed" w:color="E1E1E1" w:sz="6" w:space="0"/>
        </w:pBdr>
        <w:shd w:val="clear" w:fill="FFFFFF"/>
        <w:spacing w:before="0" w:beforeAutospacing="0" w:after="0" w:afterAutospacing="0" w:line="390" w:lineRule="atLeast"/>
        <w:ind w:left="0" w:right="0"/>
        <w:jc w:val="center"/>
        <w:rPr>
          <w:rFonts w:hint="eastAsia" w:ascii="宋体" w:hAnsi="宋体" w:eastAsia="宋体" w:cs="宋体"/>
          <w:color w:val="292929"/>
          <w:sz w:val="18"/>
          <w:szCs w:val="18"/>
        </w:rPr>
      </w:pPr>
      <w:r>
        <w:rPr>
          <w:rFonts w:hint="eastAsia" w:ascii="宋体" w:hAnsi="宋体" w:eastAsia="宋体" w:cs="宋体"/>
          <w:color w:val="292929"/>
          <w:kern w:val="0"/>
          <w:sz w:val="18"/>
          <w:szCs w:val="18"/>
          <w:shd w:val="clear" w:fill="FFFFFF"/>
          <w:lang w:val="en-US" w:eastAsia="zh-CN" w:bidi="ar"/>
        </w:rPr>
        <w:t>【编辑日期：2017-05-17】 【来源：】 【点击数：1804】</w:t>
      </w:r>
    </w:p>
    <w:p>
      <w:pPr>
        <w:keepNext w:val="0"/>
        <w:keepLines w:val="0"/>
        <w:widowControl/>
        <w:suppressLineNumbers w:val="0"/>
        <w:shd w:val="clear" w:fill="FFFFFF"/>
        <w:spacing w:before="0" w:beforeAutospacing="0" w:after="0" w:afterAutospacing="0" w:line="360" w:lineRule="atLeast"/>
        <w:ind w:left="0" w:right="0"/>
        <w:jc w:val="right"/>
        <w:rPr>
          <w:rFonts w:hint="eastAsia" w:ascii="宋体" w:hAnsi="宋体" w:eastAsia="宋体" w:cs="宋体"/>
          <w:color w:val="292929"/>
          <w:sz w:val="18"/>
          <w:szCs w:val="18"/>
        </w:rPr>
      </w:pPr>
      <w:r>
        <w:rPr>
          <w:rFonts w:hint="eastAsia" w:ascii="宋体" w:hAnsi="宋体" w:eastAsia="宋体" w:cs="宋体"/>
          <w:color w:val="292929"/>
          <w:kern w:val="0"/>
          <w:sz w:val="24"/>
          <w:szCs w:val="24"/>
          <w:shd w:val="clear" w:fill="FFFFFF"/>
          <w:lang w:val="en-US" w:eastAsia="zh-CN" w:bidi="ar"/>
        </w:rPr>
        <w:t> </w:t>
      </w:r>
      <w:r>
        <w:rPr>
          <w:rFonts w:ascii="仿宋_GB2312" w:hAnsi="宋体" w:eastAsia="仿宋_GB2312" w:cs="仿宋_GB2312"/>
          <w:color w:val="292929"/>
          <w:kern w:val="0"/>
          <w:sz w:val="32"/>
          <w:szCs w:val="32"/>
          <w:shd w:val="clear" w:fill="FFFFFF"/>
          <w:lang w:val="en-US" w:eastAsia="zh-CN" w:bidi="ar"/>
        </w:rPr>
        <w:t>川农业函</w:t>
      </w:r>
      <w:r>
        <w:rPr>
          <w:rFonts w:hint="eastAsia" w:ascii="仿宋_GB2312" w:hAnsi="宋体" w:eastAsia="仿宋_GB2312" w:cs="仿宋_GB2312"/>
          <w:color w:val="292929"/>
          <w:kern w:val="0"/>
          <w:sz w:val="32"/>
          <w:szCs w:val="32"/>
          <w:shd w:val="clear" w:fill="FFFFFF"/>
          <w:lang w:val="en-US" w:eastAsia="zh-CN" w:bidi="ar"/>
        </w:rPr>
        <w:t>[2017]363号</w:t>
      </w:r>
    </w:p>
    <w:p>
      <w:pPr>
        <w:keepNext w:val="0"/>
        <w:keepLines w:val="0"/>
        <w:widowControl/>
        <w:suppressLineNumbers w:val="0"/>
        <w:spacing w:before="0" w:beforeAutospacing="0" w:after="0" w:afterAutospacing="0" w:line="580" w:lineRule="exact"/>
        <w:ind w:left="0" w:right="0"/>
        <w:jc w:val="center"/>
      </w:pPr>
      <w:r>
        <w:rPr>
          <w:rFonts w:hint="eastAsia" w:ascii="宋体" w:hAnsi="宋体" w:eastAsia="宋体" w:cs="宋体"/>
          <w:b/>
          <w:color w:val="292929"/>
          <w:kern w:val="0"/>
          <w:sz w:val="36"/>
          <w:szCs w:val="36"/>
          <w:shd w:val="clear" w:fill="FFFFFF"/>
          <w:lang w:val="en-US" w:eastAsia="zh-CN" w:bidi="ar"/>
        </w:rPr>
        <w:t> </w:t>
      </w:r>
    </w:p>
    <w:p>
      <w:pPr>
        <w:keepNext w:val="0"/>
        <w:keepLines w:val="0"/>
        <w:widowControl/>
        <w:suppressLineNumbers w:val="0"/>
        <w:spacing w:before="0" w:beforeAutospacing="0" w:after="0" w:afterAutospacing="0" w:line="580" w:lineRule="exact"/>
        <w:ind w:left="0" w:right="0"/>
        <w:jc w:val="center"/>
      </w:pPr>
      <w:r>
        <w:rPr>
          <w:rFonts w:hint="eastAsia" w:ascii="宋体" w:hAnsi="宋体" w:eastAsia="宋体" w:cs="宋体"/>
          <w:b/>
          <w:color w:val="292929"/>
          <w:kern w:val="0"/>
          <w:sz w:val="36"/>
          <w:szCs w:val="36"/>
          <w:shd w:val="clear" w:fill="FFFFFF"/>
          <w:lang w:val="en-US" w:eastAsia="zh-CN" w:bidi="ar"/>
        </w:rPr>
        <w:t> </w:t>
      </w:r>
    </w:p>
    <w:p>
      <w:pPr>
        <w:keepNext w:val="0"/>
        <w:keepLines w:val="0"/>
        <w:widowControl/>
        <w:suppressLineNumbers w:val="0"/>
        <w:spacing w:before="0" w:beforeAutospacing="0" w:after="0" w:afterAutospacing="0" w:line="580" w:lineRule="exact"/>
        <w:ind w:left="0" w:right="0"/>
        <w:jc w:val="center"/>
      </w:pPr>
      <w:r>
        <w:rPr>
          <w:rFonts w:hint="eastAsia" w:ascii="宋体" w:hAnsi="宋体" w:eastAsia="宋体" w:cs="宋体"/>
          <w:b/>
          <w:color w:val="292929"/>
          <w:kern w:val="0"/>
          <w:sz w:val="36"/>
          <w:szCs w:val="36"/>
          <w:shd w:val="clear" w:fill="FFFFFF"/>
          <w:lang w:val="en-US" w:eastAsia="zh-CN" w:bidi="ar"/>
        </w:rPr>
        <w:t>四川省农业厅  四川省财政厅</w:t>
      </w:r>
    </w:p>
    <w:p>
      <w:pPr>
        <w:keepNext w:val="0"/>
        <w:keepLines w:val="0"/>
        <w:widowControl/>
        <w:suppressLineNumbers w:val="0"/>
        <w:spacing w:before="0" w:beforeAutospacing="0" w:after="0" w:afterAutospacing="0" w:line="580" w:lineRule="exact"/>
        <w:ind w:left="0" w:right="0"/>
        <w:jc w:val="center"/>
      </w:pPr>
      <w:r>
        <w:rPr>
          <w:rFonts w:hint="eastAsia" w:ascii="宋体" w:hAnsi="宋体" w:eastAsia="宋体" w:cs="宋体"/>
          <w:b/>
          <w:color w:val="292929"/>
          <w:kern w:val="0"/>
          <w:sz w:val="36"/>
          <w:szCs w:val="36"/>
          <w:shd w:val="clear" w:fill="FFFFFF"/>
          <w:lang w:val="en-US" w:eastAsia="zh-CN" w:bidi="ar"/>
        </w:rPr>
        <w:t>关于做好2017年农机购置补贴政策实施工作的通知</w:t>
      </w:r>
    </w:p>
    <w:p>
      <w:pPr>
        <w:keepNext w:val="0"/>
        <w:keepLines w:val="0"/>
        <w:widowControl/>
        <w:suppressLineNumbers w:val="0"/>
        <w:spacing w:before="0" w:beforeAutospacing="0" w:after="0" w:afterAutospacing="0" w:line="580" w:lineRule="exact"/>
        <w:ind w:left="0" w:right="0"/>
        <w:jc w:val="left"/>
      </w:pPr>
      <w:r>
        <w:rPr>
          <w:rFonts w:ascii="仿宋" w:hAnsi="仿宋" w:eastAsia="仿宋" w:cs="仿宋"/>
          <w:color w:val="292929"/>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line="580" w:lineRule="exact"/>
        <w:ind w:left="0" w:right="0"/>
        <w:jc w:val="left"/>
      </w:pPr>
      <w:r>
        <w:rPr>
          <w:rFonts w:hint="eastAsia" w:ascii="仿宋_GB2312" w:hAnsi="宋体" w:eastAsia="仿宋_GB2312" w:cs="仿宋_GB2312"/>
          <w:color w:val="292929"/>
          <w:kern w:val="2"/>
          <w:sz w:val="32"/>
          <w:szCs w:val="32"/>
          <w:shd w:val="clear" w:fill="FFFFFF"/>
          <w:lang w:val="en-US" w:eastAsia="zh-CN" w:bidi="ar"/>
        </w:rPr>
        <w:t>各市（州）农业（农牧）局（委）、财政局：</w:t>
      </w:r>
    </w:p>
    <w:p>
      <w:pPr>
        <w:keepNext w:val="0"/>
        <w:keepLines w:val="0"/>
        <w:widowControl/>
        <w:suppressLineNumbers w:val="0"/>
        <w:spacing w:before="0" w:beforeAutospacing="0" w:after="0" w:afterAutospacing="0" w:line="580" w:lineRule="exact"/>
        <w:ind w:left="0" w:right="0" w:firstLine="640" w:firstLineChars="200"/>
        <w:jc w:val="left"/>
      </w:pPr>
      <w:r>
        <w:rPr>
          <w:rFonts w:hint="eastAsia" w:ascii="仿宋_GB2312" w:hAnsi="宋体" w:eastAsia="仿宋_GB2312" w:cs="仿宋_GB2312"/>
          <w:color w:val="292929"/>
          <w:kern w:val="2"/>
          <w:sz w:val="32"/>
          <w:szCs w:val="32"/>
          <w:shd w:val="clear" w:fill="FFFFFF"/>
          <w:lang w:val="en-US" w:eastAsia="zh-CN" w:bidi="ar"/>
        </w:rPr>
        <w:t>为贯彻推进农业供给侧结构性改革和建立绿色生态导向农业补贴制度改革的精神，按照《农业部办公厅 财政部办公厅关于印发〈2015-2017年农业机械购置补贴实施指导意见〉的通知》（农办财[2015]6号）和《四川省农业厅 四川省财政厅关于印发〈2015-2017年农业机械购置补贴实施指导意见〉的通知》（川农业[2015]31号）要求，现就做好我省2017年农机购置补贴工作通知如下：</w:t>
      </w:r>
    </w:p>
    <w:p>
      <w:pPr>
        <w:keepNext w:val="0"/>
        <w:keepLines w:val="0"/>
        <w:widowControl/>
        <w:suppressLineNumbers w:val="0"/>
        <w:spacing w:before="0" w:beforeAutospacing="0" w:after="0" w:afterAutospacing="0" w:line="580" w:lineRule="exact"/>
        <w:ind w:left="0" w:right="0" w:firstLine="640" w:firstLineChars="200"/>
        <w:jc w:val="left"/>
      </w:pPr>
      <w:r>
        <w:rPr>
          <w:rFonts w:ascii="黑体" w:hAnsi="宋体" w:eastAsia="黑体" w:cs="黑体"/>
          <w:color w:val="292929"/>
          <w:kern w:val="2"/>
          <w:sz w:val="32"/>
          <w:szCs w:val="32"/>
          <w:shd w:val="clear" w:fill="FFFFFF"/>
          <w:lang w:val="en-US" w:eastAsia="zh-CN" w:bidi="ar"/>
        </w:rPr>
        <w:t>一、坚持绿色导向，提升资金使用效果</w:t>
      </w:r>
    </w:p>
    <w:p>
      <w:pPr>
        <w:keepNext w:val="0"/>
        <w:keepLines w:val="0"/>
        <w:widowControl/>
        <w:suppressLineNumbers w:val="0"/>
        <w:spacing w:before="0" w:beforeAutospacing="0" w:after="0" w:afterAutospacing="0" w:line="580" w:lineRule="atLeast"/>
        <w:ind w:left="0" w:right="0" w:firstLine="640"/>
        <w:jc w:val="left"/>
      </w:pPr>
      <w:r>
        <w:rPr>
          <w:rFonts w:hint="eastAsia" w:ascii="仿宋_GB2312" w:hAnsi="宋体" w:eastAsia="仿宋_GB2312" w:cs="仿宋_GB2312"/>
          <w:color w:val="292929"/>
          <w:kern w:val="2"/>
          <w:sz w:val="32"/>
          <w:szCs w:val="32"/>
          <w:shd w:val="clear" w:fill="FFFFFF"/>
          <w:lang w:val="en-US" w:eastAsia="zh-CN" w:bidi="ar"/>
        </w:rPr>
        <w:t>为贯彻执行加快农业供给侧结构性改革精神，推进四川由农业大省向农业强省跨越，进一步强化农业物质装备支撑，围绕绿色发展要求，根据《农业部办公厅 财政部办公厅关于印发〈2015-2017年农业机械购置补贴实施指导意见〉的通知》（农办财[2015]6号）中“各省应根据农业生产实际，在137个品目中，选择部分品目作为本省中央财政资金补贴范围”的规定，经过基层调查、工作组讨论、专家审核等程序确定2017年我省农机购置补贴机具种类范围为11大类35小类92个品目（详见附件）。</w:t>
      </w:r>
    </w:p>
    <w:p>
      <w:pPr>
        <w:keepNext w:val="0"/>
        <w:keepLines w:val="0"/>
        <w:widowControl/>
        <w:suppressLineNumbers w:val="0"/>
        <w:spacing w:before="0" w:beforeAutospacing="0" w:after="0" w:afterAutospacing="0" w:line="580" w:lineRule="exact"/>
        <w:ind w:left="0" w:right="0" w:firstLine="640" w:firstLineChars="200"/>
        <w:jc w:val="left"/>
      </w:pPr>
      <w:r>
        <w:rPr>
          <w:rFonts w:hint="eastAsia" w:ascii="黑体" w:hAnsi="宋体" w:eastAsia="黑体" w:cs="黑体"/>
          <w:color w:val="292929"/>
          <w:kern w:val="2"/>
          <w:sz w:val="32"/>
          <w:szCs w:val="32"/>
          <w:shd w:val="clear" w:fill="FFFFFF"/>
          <w:lang w:val="en-US" w:eastAsia="zh-CN" w:bidi="ar"/>
        </w:rPr>
        <w:t>二、规范补贴程序，强化信息公开</w:t>
      </w:r>
    </w:p>
    <w:p>
      <w:pPr>
        <w:keepNext w:val="0"/>
        <w:keepLines w:val="0"/>
        <w:widowControl/>
        <w:suppressLineNumbers w:val="0"/>
        <w:spacing w:before="0" w:beforeAutospacing="0" w:after="0" w:afterAutospacing="0" w:line="580" w:lineRule="exact"/>
        <w:ind w:left="0" w:right="0" w:firstLine="640" w:firstLineChars="200"/>
        <w:jc w:val="left"/>
      </w:pPr>
      <w:r>
        <w:rPr>
          <w:rFonts w:hint="eastAsia" w:ascii="仿宋_GB2312" w:hAnsi="宋体" w:eastAsia="仿宋_GB2312" w:cs="仿宋_GB2312"/>
          <w:color w:val="292929"/>
          <w:kern w:val="2"/>
          <w:sz w:val="32"/>
          <w:szCs w:val="32"/>
          <w:shd w:val="clear" w:fill="FFFFFF"/>
          <w:lang w:val="en-US" w:eastAsia="zh-CN" w:bidi="ar"/>
        </w:rPr>
        <w:t>2017年农机购置补贴仍然按照“自主购机、定额补贴、县（乡）结算、直补到卡”方式，执行“先购机、后申请补贴”程序。对购置实行牌证照管理的机具，其所有人要向当地农机安全监理机构办理牌证照。进一步加强县级农机购置补贴信息公开专栏建设，全面强化信息公开深度和广度，进一步推进政策公正、公开、透明实施，接受社会监督。</w:t>
      </w:r>
    </w:p>
    <w:p>
      <w:pPr>
        <w:keepNext w:val="0"/>
        <w:keepLines w:val="0"/>
        <w:widowControl/>
        <w:suppressLineNumbers w:val="0"/>
        <w:spacing w:before="0" w:beforeAutospacing="0" w:after="0" w:afterAutospacing="0" w:line="580" w:lineRule="exact"/>
        <w:ind w:left="0" w:right="0" w:firstLine="640" w:firstLineChars="200"/>
        <w:jc w:val="left"/>
      </w:pPr>
      <w:r>
        <w:rPr>
          <w:rFonts w:hint="eastAsia" w:ascii="黑体" w:hAnsi="宋体" w:eastAsia="黑体" w:cs="黑体"/>
          <w:color w:val="292929"/>
          <w:kern w:val="2"/>
          <w:sz w:val="32"/>
          <w:szCs w:val="32"/>
          <w:shd w:val="clear" w:fill="FFFFFF"/>
          <w:lang w:val="en-US" w:eastAsia="zh-CN" w:bidi="ar"/>
        </w:rPr>
        <w:t>三、加强制度建设，从严监管和查处</w:t>
      </w:r>
    </w:p>
    <w:p>
      <w:pPr>
        <w:keepNext w:val="0"/>
        <w:keepLines w:val="0"/>
        <w:widowControl/>
        <w:suppressLineNumbers w:val="0"/>
        <w:spacing w:before="0" w:beforeAutospacing="0" w:after="0" w:afterAutospacing="0" w:line="580" w:lineRule="exact"/>
        <w:ind w:left="0" w:right="0" w:firstLine="640" w:firstLineChars="200"/>
        <w:jc w:val="left"/>
      </w:pPr>
      <w:r>
        <w:rPr>
          <w:rFonts w:hint="eastAsia" w:ascii="仿宋_GB2312" w:hAnsi="宋体" w:eastAsia="仿宋_GB2312" w:cs="仿宋_GB2312"/>
          <w:color w:val="292929"/>
          <w:kern w:val="2"/>
          <w:sz w:val="32"/>
          <w:szCs w:val="32"/>
          <w:shd w:val="clear" w:fill="FFFFFF"/>
          <w:lang w:val="en-US" w:eastAsia="zh-CN" w:bidi="ar"/>
        </w:rPr>
        <w:t>各级农业、财政部门要进一步加强农机购置补贴集体决策、投诉处理等工作，建立工作责任制和内部约束机制，加强廉政风险防控和行风政风建设，强化政策实施的监管和考核。县级农业部门是农机购置补贴政策的实施主体和责任主体，县级财政部门是补贴资金兑付和监管的责任主体，要坚持依纪依法依规行政，切实履行工作职责。县级农业、财政部门要按照属地管理原则，按职责强化购机补贴异常情况监督和违规行为查处。县级财政部门要积极参与购机补贴政策的落实和监督工作，及时兑付补贴资金。</w:t>
      </w:r>
    </w:p>
    <w:p>
      <w:pPr>
        <w:keepNext w:val="0"/>
        <w:keepLines w:val="0"/>
        <w:widowControl/>
        <w:suppressLineNumbers w:val="0"/>
        <w:spacing w:before="0" w:beforeAutospacing="0" w:after="0" w:afterAutospacing="0" w:line="580" w:lineRule="exact"/>
        <w:ind w:left="0" w:right="0" w:firstLine="640" w:firstLineChars="200"/>
        <w:jc w:val="left"/>
      </w:pPr>
      <w:r>
        <w:rPr>
          <w:rFonts w:hint="eastAsia" w:ascii="仿宋_GB2312" w:hAnsi="宋体" w:eastAsia="仿宋_GB2312" w:cs="仿宋_GB2312"/>
          <w:color w:val="292929"/>
          <w:kern w:val="2"/>
          <w:sz w:val="32"/>
          <w:szCs w:val="32"/>
          <w:shd w:val="clear" w:fill="FFFFFF"/>
          <w:lang w:val="en-US" w:eastAsia="zh-CN" w:bidi="ar"/>
        </w:rPr>
        <w:t>本通知自印发之日起生效，以前若有与本通知内容不一致的以本通知为准。</w:t>
      </w:r>
    </w:p>
    <w:p>
      <w:pPr>
        <w:keepNext w:val="0"/>
        <w:keepLines w:val="0"/>
        <w:widowControl/>
        <w:suppressLineNumbers w:val="0"/>
        <w:spacing w:before="0" w:beforeAutospacing="0" w:after="0" w:afterAutospacing="0" w:line="580" w:lineRule="exact"/>
        <w:ind w:left="0" w:right="0" w:firstLine="640" w:firstLineChars="200"/>
        <w:jc w:val="left"/>
      </w:pPr>
      <w:r>
        <w:rPr>
          <w:rFonts w:hint="eastAsia" w:ascii="仿宋_GB2312" w:hAnsi="宋体" w:eastAsia="仿宋_GB2312" w:cs="仿宋_GB2312"/>
          <w:color w:val="292929"/>
          <w:kern w:val="2"/>
          <w:sz w:val="32"/>
          <w:szCs w:val="32"/>
          <w:shd w:val="clear" w:fill="FFFFFF"/>
          <w:lang w:val="en-US" w:eastAsia="zh-CN" w:bidi="ar"/>
        </w:rPr>
        <w:t>附件：四川省2017年农业机械购置补贴机具种类范围</w:t>
      </w:r>
    </w:p>
    <w:p>
      <w:pPr>
        <w:keepNext w:val="0"/>
        <w:keepLines w:val="0"/>
        <w:widowControl/>
        <w:suppressLineNumbers w:val="0"/>
        <w:adjustRightInd w:val="0"/>
        <w:snapToGrid w:val="0"/>
        <w:spacing w:before="0" w:beforeAutospacing="0" w:after="0" w:afterAutospacing="0" w:line="580" w:lineRule="exact"/>
        <w:ind w:left="0" w:right="0" w:firstLine="3200" w:firstLineChars="1000"/>
        <w:jc w:val="left"/>
      </w:pPr>
      <w:r>
        <w:rPr>
          <w:rFonts w:hint="eastAsia" w:ascii="仿宋_GB2312" w:hAnsi="宋体" w:eastAsia="仿宋_GB2312" w:cs="仿宋_GB2312"/>
          <w:color w:val="292929"/>
          <w:kern w:val="2"/>
          <w:sz w:val="32"/>
          <w:szCs w:val="32"/>
          <w:shd w:val="clear" w:fill="FFFFFF"/>
          <w:lang w:val="en-US" w:eastAsia="zh-CN" w:bidi="ar"/>
        </w:rPr>
        <w:t xml:space="preserve"> </w:t>
      </w:r>
    </w:p>
    <w:p>
      <w:pPr>
        <w:keepNext w:val="0"/>
        <w:keepLines w:val="0"/>
        <w:widowControl/>
        <w:suppressLineNumbers w:val="0"/>
        <w:adjustRightInd w:val="0"/>
        <w:snapToGrid w:val="0"/>
        <w:spacing w:before="0" w:beforeAutospacing="0" w:after="0" w:afterAutospacing="0" w:line="580" w:lineRule="exact"/>
        <w:ind w:left="0" w:right="0" w:firstLine="3200" w:firstLineChars="1000"/>
        <w:jc w:val="left"/>
      </w:pPr>
      <w:r>
        <w:rPr>
          <w:rFonts w:hint="eastAsia" w:ascii="仿宋_GB2312" w:hAnsi="宋体" w:eastAsia="仿宋_GB2312" w:cs="仿宋_GB2312"/>
          <w:color w:val="292929"/>
          <w:kern w:val="2"/>
          <w:sz w:val="32"/>
          <w:szCs w:val="32"/>
          <w:shd w:val="clear" w:fill="FFFFFF"/>
          <w:lang w:val="en-US" w:eastAsia="zh-CN" w:bidi="ar"/>
        </w:rPr>
        <w:t>四川省农业厅  四川省财政厅</w:t>
      </w:r>
    </w:p>
    <w:p>
      <w:pPr>
        <w:keepNext w:val="0"/>
        <w:keepLines w:val="0"/>
        <w:widowControl/>
        <w:suppressLineNumbers w:val="0"/>
        <w:adjustRightInd w:val="0"/>
        <w:snapToGrid w:val="0"/>
        <w:spacing w:before="0" w:beforeAutospacing="0" w:after="0" w:afterAutospacing="0" w:line="580" w:lineRule="exact"/>
        <w:ind w:left="0" w:right="0" w:firstLine="4000" w:firstLineChars="1250"/>
        <w:jc w:val="left"/>
      </w:pPr>
      <w:r>
        <w:rPr>
          <w:rFonts w:hint="eastAsia" w:ascii="仿宋_GB2312" w:hAnsi="宋体" w:eastAsia="仿宋_GB2312" w:cs="仿宋_GB2312"/>
          <w:color w:val="292929"/>
          <w:kern w:val="2"/>
          <w:sz w:val="32"/>
          <w:szCs w:val="32"/>
          <w:shd w:val="clear" w:fill="FFFFFF"/>
          <w:lang w:val="en-US" w:eastAsia="zh-CN" w:bidi="ar"/>
        </w:rPr>
        <w:t>2017年5月11日</w:t>
      </w:r>
    </w:p>
    <w:p>
      <w:pPr>
        <w:keepNext w:val="0"/>
        <w:keepLines w:val="0"/>
        <w:widowControl/>
        <w:suppressLineNumbers w:val="0"/>
        <w:spacing w:before="0" w:beforeAutospacing="0" w:after="0" w:afterAutospacing="0" w:line="580" w:lineRule="atLeast"/>
        <w:ind w:left="0" w:right="0"/>
        <w:jc w:val="left"/>
      </w:pPr>
      <w:r>
        <w:rPr>
          <w:rFonts w:hint="default" w:ascii="仿宋" w:hAnsi="仿宋" w:eastAsia="仿宋" w:cs="仿宋"/>
          <w:color w:val="292929"/>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line="580" w:lineRule="atLeast"/>
        <w:ind w:left="0" w:right="0"/>
        <w:jc w:val="left"/>
      </w:pPr>
      <w:r>
        <w:rPr>
          <w:rFonts w:hint="eastAsia" w:ascii="仿宋_GB2312" w:hAnsi="宋体" w:eastAsia="仿宋_GB2312" w:cs="仿宋_GB2312"/>
          <w:color w:val="292929"/>
          <w:kern w:val="0"/>
          <w:sz w:val="31"/>
          <w:szCs w:val="31"/>
          <w:shd w:val="clear" w:fill="FFFFFF"/>
          <w:lang w:val="en-US" w:eastAsia="zh-CN" w:bidi="ar"/>
        </w:rPr>
        <w:t>附件</w:t>
      </w:r>
    </w:p>
    <w:p>
      <w:pPr>
        <w:keepNext w:val="0"/>
        <w:keepLines w:val="0"/>
        <w:widowControl/>
        <w:suppressLineNumbers w:val="0"/>
        <w:spacing w:before="0" w:beforeAutospacing="0" w:after="0" w:afterAutospacing="0" w:line="580" w:lineRule="exact"/>
        <w:ind w:left="0" w:right="0"/>
        <w:jc w:val="center"/>
      </w:pPr>
      <w:r>
        <w:rPr>
          <w:rFonts w:hint="eastAsia" w:ascii="宋体" w:hAnsi="宋体" w:eastAsia="宋体" w:cs="宋体"/>
          <w:b/>
          <w:color w:val="292929"/>
          <w:kern w:val="0"/>
          <w:sz w:val="32"/>
          <w:szCs w:val="32"/>
          <w:shd w:val="clear" w:fill="FFFFFF"/>
          <w:lang w:val="en-US" w:eastAsia="zh-CN" w:bidi="ar"/>
        </w:rPr>
        <w:t>四川省2017年农机购置补贴机具种类范围</w:t>
      </w:r>
    </w:p>
    <w:p>
      <w:pPr>
        <w:keepNext w:val="0"/>
        <w:keepLines w:val="0"/>
        <w:widowControl/>
        <w:suppressLineNumbers w:val="0"/>
        <w:spacing w:before="0" w:beforeAutospacing="0" w:after="0" w:afterAutospacing="0" w:line="580" w:lineRule="exact"/>
        <w:ind w:left="0" w:right="0"/>
        <w:jc w:val="center"/>
      </w:pPr>
      <w:r>
        <w:rPr>
          <w:rFonts w:hint="default" w:ascii="仿宋" w:hAnsi="仿宋" w:eastAsia="仿宋" w:cs="仿宋"/>
          <w:b/>
          <w:color w:val="292929"/>
          <w:kern w:val="0"/>
          <w:sz w:val="32"/>
          <w:szCs w:val="32"/>
          <w:shd w:val="clear" w:fill="FFFFFF"/>
          <w:lang w:val="en-US" w:eastAsia="zh-CN" w:bidi="ar"/>
        </w:rPr>
        <w:t>（11大类35个小类92个品目）</w:t>
      </w:r>
    </w:p>
    <w:p>
      <w:pPr>
        <w:keepNext w:val="0"/>
        <w:keepLines w:val="0"/>
        <w:widowControl/>
        <w:suppressLineNumbers w:val="0"/>
        <w:spacing w:before="0" w:beforeAutospacing="0" w:after="0" w:afterAutospacing="0" w:line="580" w:lineRule="atLeast"/>
        <w:ind w:left="0" w:right="0"/>
        <w:jc w:val="left"/>
      </w:pPr>
      <w:r>
        <w:rPr>
          <w:rFonts w:hint="default" w:ascii="仿宋" w:hAnsi="仿宋" w:eastAsia="仿宋" w:cs="仿宋"/>
          <w:color w:val="292929"/>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1．耕整地机械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1.1耕地机械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1.1.1翻转犁、1.1.2旋耕机、1.1.3耕整机（水田、旱田）、1.1.4微耕机、1.1.5田园管理机、1.1.6开沟机（器）、1.1.7机耕船。</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1.2整地机械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1.2.1圆盘耙、1.2.2起垄机。</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2．种植施肥机械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2.1播种机械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2.1.1条播机、2.1.2穴播机、2.1.3小粒种子播种机、2.1.4根茎类种子播种机、2.1.5水稻（水旱）直播机、2.1.6免耕播种机。</w:t>
      </w:r>
    </w:p>
    <w:p>
      <w:pPr>
        <w:keepNext w:val="0"/>
        <w:keepLines w:val="0"/>
        <w:widowControl/>
        <w:suppressLineNumbers w:val="0"/>
        <w:snapToGrid w:val="0"/>
        <w:spacing w:before="0" w:beforeAutospacing="0" w:after="0" w:afterAutospacing="0" w:line="580" w:lineRule="exact"/>
        <w:ind w:left="0" w:right="0" w:firstLine="640" w:firstLineChars="200"/>
        <w:jc w:val="left"/>
      </w:pPr>
      <w:r>
        <w:rPr>
          <w:rFonts w:hint="default" w:ascii="仿宋" w:hAnsi="仿宋" w:eastAsia="仿宋" w:cs="仿宋"/>
          <w:b/>
          <w:color w:val="292929"/>
          <w:kern w:val="0"/>
          <w:sz w:val="32"/>
          <w:szCs w:val="32"/>
          <w:shd w:val="clear" w:fill="FFFFFF"/>
          <w:lang w:val="en-US" w:eastAsia="zh-CN" w:bidi="ar"/>
        </w:rPr>
        <w:t>2.2育苗机械设备</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2.2.1秧盘播种成套设备（含床土处理）、2.2.2种子处理设备（采摘、调制、浮选、浸种、催芽、脱芒等）。</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2.3栽植机械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2.3.1水稻插秧机。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2.4施肥机械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2.4.1施肥机（化肥）、2.4.2撒肥机（厩肥）、2.4.3追肥机（液肥）、2.4.4中耕追肥机、2.4.5配肥机。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2.5地膜机械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2.5.1地膜覆盖机、2.5.2残膜回收机。</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3．田间管理机械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3.1中耕机械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3.1.1中耕机、3.1.2培土机。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3.2植保机械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3.1.1机动喷雾喷粉机、3.1.2动力喷雾机（含担架式、推车式机动喷雾机）、3.1.3喷杆式喷雾机（含牵引式、自走式、悬挂式喷杆喷雾机）、3.1.4风送式喷雾机。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3.3修剪机械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3.2.1茶树修剪机。</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4．收获机械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4.1谷物收获机械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4.1.1自走轮式谷物联合收割机（全喂入）、4.1.2自走履带式谷物联合收割机（全喂入）、4.1.3半喂入联合收割机、4.1.4割晒机。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4.2玉米收获机械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4.2.1自走式玉米收获机（含穗茎兼收玉米收获机）。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4.3花卉（茶叶）采收机械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4.3.1采茶机。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4.4籽粒作物收获机械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4.4.1油菜籽收获机、4.4.2花生收获机。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4.5根茎作物收获机械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4.5.1薯类收获机。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4.6饲料作物收获机械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4.6.1青饲料收获机、4.6.2割草机、4.6.3搂草机、4.6.4捡拾压捆机、4.6.5压捆机、4.6.6抓草机。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4.7茎秆收集处理机械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4.7.1秸秆粉碎还田机。</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5．收获后处理机械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5.1脱粒机械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5.1.1稻麦脱粒机、5.1.2玉米脱粒机。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5.2清选机械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5.2.1粮食清选机、5.2.2种子清选机。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5.3干燥机械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5.3.1粮食烘干机、5.3.2果蔬烘干机。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5.4仓储机械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5.4.1简易保鲜储藏设备。</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6．农产品初加工机械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6.1碾米机械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6.1.1碾米机。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6.2磨粉（浆）机械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6.2.1磨粉机、6.2.2磨浆机。</w:t>
      </w:r>
    </w:p>
    <w:p>
      <w:pPr>
        <w:keepNext w:val="0"/>
        <w:keepLines w:val="0"/>
        <w:widowControl/>
        <w:suppressLineNumbers w:val="0"/>
        <w:snapToGrid w:val="0"/>
        <w:spacing w:before="0" w:beforeAutospacing="0" w:after="0" w:afterAutospacing="0" w:line="580" w:lineRule="exact"/>
        <w:ind w:left="0" w:right="0" w:firstLine="640" w:firstLineChars="200"/>
        <w:jc w:val="left"/>
      </w:pPr>
      <w:r>
        <w:rPr>
          <w:rFonts w:hint="default" w:ascii="仿宋" w:hAnsi="仿宋" w:eastAsia="仿宋" w:cs="仿宋"/>
          <w:b/>
          <w:color w:val="292929"/>
          <w:kern w:val="0"/>
          <w:sz w:val="32"/>
          <w:szCs w:val="32"/>
          <w:shd w:val="clear" w:fill="FFFFFF"/>
          <w:lang w:val="en-US" w:eastAsia="zh-CN" w:bidi="ar"/>
        </w:rPr>
        <w:t>6.3果蔬加工机械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6.3.1水果分级机、6.3.2水果打蜡机、6.3.3果蔬清洗机。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6.4茶叶加工机械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6.4.1茶叶杀青机、6.4.2茶叶揉捻机、6.4.3茶叶炒(烘)干机、6.4.4茶叶筛选机。</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7．排灌机械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7.1水泵</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7.1.1离心泵、7.1.2潜水泵。</w:t>
      </w:r>
    </w:p>
    <w:p>
      <w:pPr>
        <w:keepNext w:val="0"/>
        <w:keepLines w:val="0"/>
        <w:widowControl/>
        <w:suppressLineNumbers w:val="0"/>
        <w:snapToGrid w:val="0"/>
        <w:spacing w:before="0" w:beforeAutospacing="0" w:after="0" w:afterAutospacing="0" w:line="580" w:lineRule="exact"/>
        <w:ind w:left="0" w:right="0" w:firstLine="640" w:firstLineChars="200"/>
        <w:jc w:val="left"/>
      </w:pPr>
      <w:r>
        <w:rPr>
          <w:rFonts w:hint="default" w:ascii="仿宋" w:hAnsi="仿宋" w:eastAsia="仿宋" w:cs="仿宋"/>
          <w:b/>
          <w:color w:val="292929"/>
          <w:kern w:val="0"/>
          <w:sz w:val="32"/>
          <w:szCs w:val="32"/>
          <w:shd w:val="clear" w:fill="FFFFFF"/>
          <w:lang w:val="en-US" w:eastAsia="zh-CN" w:bidi="ar"/>
        </w:rPr>
        <w:t>7.2喷灌机械设备</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7.2.1喷灌机、7.2.2微灌设备（微喷、滴灌、渗灌）、7.2.3灌溉用过滤器。</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7.3其他排灌机械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7.3.1抗旱机泵。</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8．畜牧水产养殖机械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8.1饲料（草）加工机械设备</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8.1.1青贮切碎机、8.1.2铡草机、8.1.3揉丝机、8.1.4饲料粉碎机、8.1.5饲料混合机、8.1.6饲料搅拌机、8.1.7颗粒饲料压制机。</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8.2畜牧饲养机械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8.2.1孵化机、8.2.2清粪机（车）。</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8.3畜产品采集加工机械设备</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8.3.1挤奶机、8.3.2贮奶罐、8.3.3冷藏罐。</w:t>
      </w:r>
    </w:p>
    <w:p>
      <w:pPr>
        <w:keepNext w:val="0"/>
        <w:keepLines w:val="0"/>
        <w:widowControl/>
        <w:suppressLineNumbers w:val="0"/>
        <w:snapToGrid w:val="0"/>
        <w:spacing w:before="0" w:beforeAutospacing="0" w:after="0" w:afterAutospacing="0" w:line="580" w:lineRule="exact"/>
        <w:ind w:left="0" w:right="0" w:firstLine="640" w:firstLineChars="200"/>
        <w:jc w:val="left"/>
        <w:outlineLvl w:val="0"/>
      </w:pPr>
      <w:r>
        <w:rPr>
          <w:rFonts w:hint="default" w:ascii="仿宋" w:hAnsi="仿宋" w:eastAsia="仿宋" w:cs="仿宋"/>
          <w:b/>
          <w:color w:val="292929"/>
          <w:kern w:val="0"/>
          <w:sz w:val="32"/>
          <w:szCs w:val="32"/>
          <w:shd w:val="clear" w:fill="FFFFFF"/>
          <w:lang w:val="en-US" w:eastAsia="zh-CN" w:bidi="ar"/>
        </w:rPr>
        <w:t>8.4水产养殖机械</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8.4.1增氧机、8.4.2水体净化处理设备。</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9．动力机械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9.1拖拉机</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9.1.1轮式拖拉机（不含皮带传动轮式拖拉机）、9.1.2手扶拖拉机、9.1.3履带式拖拉机。</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10.设施农业设备</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10.1连栋温室设施设备</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10.1.1灌溉首部（含灌溉水增压设备、过滤设备、水质软化设备、灌溉施肥一体化设备以及营养液消毒设备等）。</w:t>
      </w:r>
    </w:p>
    <w:p>
      <w:pPr>
        <w:keepNext w:val="0"/>
        <w:keepLines w:val="0"/>
        <w:widowControl/>
        <w:suppressLineNumbers w:val="0"/>
        <w:spacing w:before="0" w:beforeAutospacing="0" w:after="0" w:afterAutospacing="0" w:line="580" w:lineRule="atLeast"/>
        <w:ind w:left="0" w:right="0" w:firstLine="640"/>
        <w:jc w:val="left"/>
      </w:pPr>
      <w:r>
        <w:rPr>
          <w:rFonts w:hint="eastAsia" w:ascii="黑体" w:hAnsi="宋体" w:eastAsia="黑体" w:cs="黑体"/>
          <w:color w:val="292929"/>
          <w:kern w:val="2"/>
          <w:sz w:val="32"/>
          <w:szCs w:val="32"/>
          <w:shd w:val="clear" w:fill="FFFFFF"/>
          <w:lang w:val="en-US" w:eastAsia="zh-CN" w:bidi="ar"/>
        </w:rPr>
        <w:t>11．其他机械</w:t>
      </w:r>
    </w:p>
    <w:p>
      <w:pPr>
        <w:keepNext w:val="0"/>
        <w:keepLines w:val="0"/>
        <w:widowControl/>
        <w:suppressLineNumbers w:val="0"/>
        <w:spacing w:before="0" w:beforeAutospacing="0" w:after="0" w:afterAutospacing="0" w:line="580" w:lineRule="atLeast"/>
        <w:ind w:left="0" w:right="0" w:firstLine="640"/>
        <w:jc w:val="left"/>
      </w:pPr>
      <w:r>
        <w:rPr>
          <w:rFonts w:hint="default" w:ascii="仿宋" w:hAnsi="仿宋" w:eastAsia="仿宋" w:cs="仿宋"/>
          <w:b/>
          <w:color w:val="292929"/>
          <w:kern w:val="0"/>
          <w:sz w:val="32"/>
          <w:szCs w:val="32"/>
          <w:shd w:val="clear" w:fill="FFFFFF"/>
          <w:lang w:val="en-US" w:eastAsia="zh-CN" w:bidi="ar"/>
        </w:rPr>
        <w:t>11.1废弃物处理设备</w:t>
      </w:r>
      <w:r>
        <w:rPr>
          <w:rFonts w:hint="default" w:ascii="仿宋" w:hAnsi="仿宋" w:eastAsia="仿宋" w:cs="仿宋"/>
          <w:color w:val="292929"/>
          <w:kern w:val="2"/>
          <w:sz w:val="32"/>
          <w:szCs w:val="32"/>
          <w:shd w:val="clear" w:fill="FFFFFF"/>
          <w:lang w:val="en-US" w:eastAsia="zh-CN" w:bidi="ar"/>
        </w:rPr>
        <w:t>：</w:t>
      </w:r>
      <w:r>
        <w:rPr>
          <w:rFonts w:hint="eastAsia" w:ascii="仿宋_GB2312" w:hAnsi="仿宋" w:eastAsia="仿宋_GB2312" w:cs="仿宋_GB2312"/>
          <w:color w:val="292929"/>
          <w:kern w:val="2"/>
          <w:sz w:val="32"/>
          <w:szCs w:val="32"/>
          <w:shd w:val="clear" w:fill="FFFFFF"/>
          <w:lang w:val="en-US" w:eastAsia="zh-CN" w:bidi="ar"/>
        </w:rPr>
        <w:t>11.1.1固液分离机、11.1.2沼液沼渣抽排设备、11.1.3病死畜禽无害化处理设备。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33A56"/>
    <w:rsid w:val="71133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ascii="微软雅黑" w:hAnsi="微软雅黑" w:eastAsia="微软雅黑" w:cs="微软雅黑"/>
      <w:b/>
      <w:kern w:val="0"/>
      <w:sz w:val="36"/>
      <w:szCs w:val="36"/>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444444"/>
      <w:u w:val="none"/>
    </w:rPr>
  </w:style>
  <w:style w:type="character" w:styleId="5">
    <w:name w:val="Hyperlink"/>
    <w:basedOn w:val="3"/>
    <w:uiPriority w:val="0"/>
    <w:rPr>
      <w:color w:val="444444"/>
      <w:u w:val="none"/>
    </w:rPr>
  </w:style>
  <w:style w:type="character" w:customStyle="1" w:styleId="7">
    <w:name w:val="hover60"/>
    <w:basedOn w:val="3"/>
    <w:uiPriority w:val="0"/>
  </w:style>
  <w:style w:type="character" w:customStyle="1" w:styleId="8">
    <w:name w:val="cu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2017-07-03T02:10:00Z</dcterms:created>
  <dc:creator>Administrator</dc:creator>
  <cp:lastModifiedBy>Administrator</cp:lastModifiedBy>
  <dcterms:modified xsi:type="dcterms:W3CDTF">2017-07-03T02:10:53Z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